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E9EB" w14:textId="77777777" w:rsidR="00293A77" w:rsidRPr="003337A5" w:rsidRDefault="00293A77">
      <w:pPr>
        <w:spacing w:before="3600"/>
      </w:pPr>
    </w:p>
    <w:p w14:paraId="1E1CBB54" w14:textId="07C88216" w:rsidR="00293A77" w:rsidRPr="00B67CE0" w:rsidRDefault="00B67CE0" w:rsidP="00B67CE0">
      <w:pPr>
        <w:spacing w:before="400" w:after="120"/>
        <w:jc w:val="center"/>
      </w:pPr>
      <w:r w:rsidRPr="00B67CE0">
        <w:rPr>
          <w:b/>
          <w:bCs/>
          <w:sz w:val="44"/>
          <w:szCs w:val="44"/>
        </w:rPr>
        <w:t>TAHLILIY MATERIAL</w:t>
      </w:r>
      <w:r w:rsidRPr="00B67CE0">
        <w:rPr>
          <w:b/>
          <w:bCs/>
          <w:sz w:val="44"/>
          <w:szCs w:val="44"/>
        </w:rPr>
        <w:br/>
      </w:r>
      <w:r w:rsidRPr="00B67CE0">
        <w:rPr>
          <w:b/>
          <w:bCs/>
          <w:sz w:val="44"/>
          <w:szCs w:val="44"/>
        </w:rPr>
        <w:br/>
      </w:r>
      <w:proofErr w:type="spellStart"/>
      <w:proofErr w:type="gramStart"/>
      <w:r w:rsidRPr="00B67CE0">
        <w:rPr>
          <w:b/>
          <w:bCs/>
          <w:sz w:val="34"/>
          <w:szCs w:val="34"/>
        </w:rPr>
        <w:t>O‘</w:t>
      </w:r>
      <w:proofErr w:type="gramEnd"/>
      <w:r w:rsidRPr="00B67CE0">
        <w:rPr>
          <w:b/>
          <w:bCs/>
          <w:sz w:val="34"/>
          <w:szCs w:val="34"/>
        </w:rPr>
        <w:t>zbekiston</w:t>
      </w:r>
      <w:proofErr w:type="spellEnd"/>
      <w:r w:rsidRPr="00B67CE0">
        <w:rPr>
          <w:b/>
          <w:bCs/>
          <w:sz w:val="34"/>
          <w:szCs w:val="34"/>
        </w:rPr>
        <w:t xml:space="preserve"> </w:t>
      </w:r>
      <w:proofErr w:type="spellStart"/>
      <w:r w:rsidRPr="00B67CE0">
        <w:rPr>
          <w:b/>
          <w:bCs/>
          <w:sz w:val="34"/>
          <w:szCs w:val="34"/>
        </w:rPr>
        <w:t>bozori</w:t>
      </w:r>
      <w:proofErr w:type="spellEnd"/>
      <w:r w:rsidRPr="00B67CE0">
        <w:rPr>
          <w:b/>
          <w:bCs/>
          <w:sz w:val="34"/>
          <w:szCs w:val="34"/>
        </w:rPr>
        <w:t xml:space="preserve"> </w:t>
      </w:r>
      <w:proofErr w:type="spellStart"/>
      <w:r w:rsidRPr="00B67CE0">
        <w:rPr>
          <w:b/>
          <w:bCs/>
          <w:sz w:val="34"/>
          <w:szCs w:val="34"/>
        </w:rPr>
        <w:t>yetakchi</w:t>
      </w:r>
      <w:proofErr w:type="spellEnd"/>
      <w:r w:rsidRPr="00B67CE0">
        <w:rPr>
          <w:b/>
          <w:bCs/>
          <w:sz w:val="34"/>
          <w:szCs w:val="34"/>
        </w:rPr>
        <w:t xml:space="preserve"> </w:t>
      </w:r>
      <w:proofErr w:type="spellStart"/>
      <w:r w:rsidRPr="00B67CE0">
        <w:rPr>
          <w:b/>
          <w:bCs/>
          <w:sz w:val="34"/>
          <w:szCs w:val="34"/>
        </w:rPr>
        <w:t>konsalting</w:t>
      </w:r>
      <w:proofErr w:type="spellEnd"/>
      <w:r w:rsidRPr="00B67CE0">
        <w:rPr>
          <w:b/>
          <w:bCs/>
          <w:sz w:val="34"/>
          <w:szCs w:val="34"/>
        </w:rPr>
        <w:t xml:space="preserve"> </w:t>
      </w:r>
      <w:proofErr w:type="spellStart"/>
      <w:r w:rsidRPr="00B67CE0">
        <w:rPr>
          <w:b/>
          <w:bCs/>
          <w:sz w:val="34"/>
          <w:szCs w:val="34"/>
        </w:rPr>
        <w:t>kompaniyalari</w:t>
      </w:r>
      <w:proofErr w:type="spellEnd"/>
      <w:r w:rsidRPr="00B67CE0">
        <w:rPr>
          <w:b/>
          <w:bCs/>
          <w:sz w:val="34"/>
          <w:szCs w:val="34"/>
        </w:rPr>
        <w:t xml:space="preserve"> </w:t>
      </w:r>
      <w:proofErr w:type="spellStart"/>
      <w:r w:rsidRPr="00B67CE0">
        <w:rPr>
          <w:b/>
          <w:bCs/>
          <w:sz w:val="34"/>
          <w:szCs w:val="34"/>
        </w:rPr>
        <w:t>nigohida</w:t>
      </w:r>
      <w:proofErr w:type="spellEnd"/>
      <w:r w:rsidRPr="00B67CE0">
        <w:rPr>
          <w:b/>
          <w:bCs/>
          <w:sz w:val="34"/>
          <w:szCs w:val="34"/>
        </w:rPr>
        <w:br/>
      </w:r>
      <w:r w:rsidRPr="00B67CE0">
        <w:rPr>
          <w:b/>
          <w:bCs/>
          <w:sz w:val="34"/>
          <w:szCs w:val="34"/>
        </w:rPr>
        <w:br/>
      </w:r>
      <w:r w:rsidRPr="00B67CE0">
        <w:rPr>
          <w:sz w:val="24"/>
          <w:szCs w:val="24"/>
        </w:rPr>
        <w:t xml:space="preserve">KPMG, EY, BCG, PwC </w:t>
      </w:r>
      <w:proofErr w:type="spellStart"/>
      <w:r w:rsidRPr="00B67CE0">
        <w:rPr>
          <w:sz w:val="24"/>
          <w:szCs w:val="24"/>
        </w:rPr>
        <w:t>nashrlari</w:t>
      </w:r>
      <w:proofErr w:type="spellEnd"/>
      <w:r w:rsidRPr="00B67CE0">
        <w:rPr>
          <w:sz w:val="24"/>
          <w:szCs w:val="24"/>
        </w:rPr>
        <w:t xml:space="preserve"> </w:t>
      </w:r>
      <w:proofErr w:type="spellStart"/>
      <w:r w:rsidRPr="00B67CE0">
        <w:rPr>
          <w:sz w:val="24"/>
          <w:szCs w:val="24"/>
        </w:rPr>
        <w:t>asosida</w:t>
      </w:r>
      <w:proofErr w:type="spellEnd"/>
    </w:p>
    <w:p w14:paraId="181A88CE" w14:textId="77777777" w:rsidR="00293A77" w:rsidRPr="00B67CE0" w:rsidRDefault="00293A77">
      <w:pPr>
        <w:spacing w:before="1500"/>
        <w:rPr>
          <w:sz w:val="24"/>
          <w:szCs w:val="24"/>
        </w:rPr>
      </w:pPr>
    </w:p>
    <w:p w14:paraId="1933619A" w14:textId="77777777" w:rsidR="003337A5" w:rsidRPr="00B67CE0" w:rsidRDefault="003337A5">
      <w:pPr>
        <w:spacing w:before="1500"/>
      </w:pPr>
    </w:p>
    <w:p w14:paraId="03B7F1E8" w14:textId="77777777" w:rsidR="003337A5" w:rsidRPr="00B67CE0" w:rsidRDefault="003337A5">
      <w:pPr>
        <w:spacing w:before="1500"/>
      </w:pPr>
    </w:p>
    <w:p w14:paraId="0FC72881" w14:textId="64A72309" w:rsidR="003337A5" w:rsidRPr="00B67CE0" w:rsidRDefault="00B67CE0">
      <w:pPr>
        <w:pStyle w:val="1"/>
        <w:spacing w:before="300" w:after="160"/>
        <w:rPr>
          <w:color w:val="auto"/>
        </w:rPr>
      </w:pPr>
      <w:r w:rsidRPr="00B67CE0">
        <w:rPr>
          <w:b w:val="0"/>
          <w:bCs w:val="0"/>
          <w:i/>
          <w:iCs/>
          <w:color w:val="auto"/>
          <w:sz w:val="22"/>
          <w:szCs w:val="22"/>
        </w:rPr>
        <w:t xml:space="preserve">                                               </w:t>
      </w:r>
      <w:proofErr w:type="spellStart"/>
      <w:r w:rsidRPr="00B67CE0">
        <w:rPr>
          <w:b w:val="0"/>
          <w:bCs w:val="0"/>
          <w:i/>
          <w:iCs/>
          <w:color w:val="auto"/>
          <w:sz w:val="22"/>
          <w:szCs w:val="22"/>
        </w:rPr>
        <w:t>Tadbirkorlar</w:t>
      </w:r>
      <w:proofErr w:type="spellEnd"/>
      <w:r w:rsidRPr="00B67CE0">
        <w:rPr>
          <w:b w:val="0"/>
          <w:bCs w:val="0"/>
          <w:i/>
          <w:iCs/>
          <w:color w:val="auto"/>
          <w:sz w:val="22"/>
          <w:szCs w:val="22"/>
        </w:rPr>
        <w:t xml:space="preserve"> </w:t>
      </w:r>
      <w:proofErr w:type="spellStart"/>
      <w:r w:rsidRPr="00B67CE0">
        <w:rPr>
          <w:b w:val="0"/>
          <w:bCs w:val="0"/>
          <w:i/>
          <w:iCs/>
          <w:color w:val="auto"/>
          <w:sz w:val="22"/>
          <w:szCs w:val="22"/>
        </w:rPr>
        <w:t>va</w:t>
      </w:r>
      <w:proofErr w:type="spellEnd"/>
      <w:r w:rsidRPr="00B67CE0">
        <w:rPr>
          <w:b w:val="0"/>
          <w:bCs w:val="0"/>
          <w:i/>
          <w:iCs/>
          <w:color w:val="auto"/>
          <w:sz w:val="22"/>
          <w:szCs w:val="22"/>
        </w:rPr>
        <w:t xml:space="preserve"> </w:t>
      </w:r>
      <w:proofErr w:type="spellStart"/>
      <w:r w:rsidRPr="00B67CE0">
        <w:rPr>
          <w:b w:val="0"/>
          <w:bCs w:val="0"/>
          <w:i/>
          <w:iCs/>
          <w:color w:val="auto"/>
          <w:sz w:val="22"/>
          <w:szCs w:val="22"/>
        </w:rPr>
        <w:t>investorlar</w:t>
      </w:r>
      <w:proofErr w:type="spellEnd"/>
      <w:r w:rsidRPr="00B67CE0">
        <w:rPr>
          <w:b w:val="0"/>
          <w:bCs w:val="0"/>
          <w:i/>
          <w:iCs/>
          <w:color w:val="auto"/>
          <w:sz w:val="22"/>
          <w:szCs w:val="22"/>
        </w:rPr>
        <w:t xml:space="preserve"> </w:t>
      </w:r>
      <w:proofErr w:type="spellStart"/>
      <w:r w:rsidRPr="00B67CE0">
        <w:rPr>
          <w:b w:val="0"/>
          <w:bCs w:val="0"/>
          <w:i/>
          <w:iCs/>
          <w:color w:val="auto"/>
          <w:sz w:val="22"/>
          <w:szCs w:val="22"/>
        </w:rPr>
        <w:t>uchun</w:t>
      </w:r>
      <w:proofErr w:type="spellEnd"/>
    </w:p>
    <w:p w14:paraId="7AC4CBEC" w14:textId="77777777" w:rsidR="003337A5" w:rsidRPr="00B67CE0" w:rsidRDefault="003337A5">
      <w:pPr>
        <w:pStyle w:val="1"/>
        <w:spacing w:before="300" w:after="160"/>
        <w:rPr>
          <w:color w:val="auto"/>
        </w:rPr>
      </w:pPr>
    </w:p>
    <w:p w14:paraId="4A387449" w14:textId="77777777" w:rsidR="003337A5" w:rsidRPr="00B67CE0" w:rsidRDefault="003337A5">
      <w:pPr>
        <w:pStyle w:val="1"/>
        <w:spacing w:before="300" w:after="160"/>
        <w:rPr>
          <w:color w:val="auto"/>
        </w:rPr>
      </w:pPr>
    </w:p>
    <w:p w14:paraId="7B3C0AE2" w14:textId="77777777" w:rsidR="003337A5" w:rsidRPr="00B67CE0" w:rsidRDefault="003337A5">
      <w:pPr>
        <w:pStyle w:val="1"/>
        <w:spacing w:before="300" w:after="160"/>
        <w:rPr>
          <w:color w:val="auto"/>
        </w:rPr>
      </w:pPr>
    </w:p>
    <w:p w14:paraId="028E20C2" w14:textId="77777777" w:rsidR="00B67CE0" w:rsidRDefault="00B67CE0" w:rsidP="00B67CE0">
      <w:pPr>
        <w:pStyle w:val="2"/>
      </w:pPr>
      <w:proofErr w:type="spellStart"/>
      <w:proofErr w:type="gramStart"/>
      <w:r>
        <w:t>O‘</w:t>
      </w:r>
      <w:proofErr w:type="gramEnd"/>
      <w:r>
        <w:t>zbekiston</w:t>
      </w:r>
      <w:proofErr w:type="spellEnd"/>
      <w:r>
        <w:t xml:space="preserve"> </w:t>
      </w:r>
      <w:proofErr w:type="spellStart"/>
      <w:r>
        <w:t>rivojlanishining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rt</w:t>
      </w:r>
      <w:proofErr w:type="spellEnd"/>
      <w:r>
        <w:t xml:space="preserve"> </w:t>
      </w:r>
      <w:proofErr w:type="spellStart"/>
      <w:r>
        <w:t>ssenariysi</w:t>
      </w:r>
      <w:proofErr w:type="spellEnd"/>
      <w:r>
        <w:t xml:space="preserve"> (2025–2035-yillar)</w:t>
      </w:r>
    </w:p>
    <w:p w14:paraId="218B5DA3" w14:textId="77777777" w:rsidR="00B67CE0" w:rsidRPr="00B67CE0" w:rsidRDefault="00B67CE0" w:rsidP="00B67CE0">
      <w:pPr>
        <w:pStyle w:val="isselectedend"/>
        <w:rPr>
          <w:lang w:val="en-US"/>
        </w:rPr>
      </w:pP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zbekiston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bozorida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uzoq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muddatli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strategiyalarni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rejalashtirayotgan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investorlar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BCG </w:t>
      </w:r>
      <w:proofErr w:type="spellStart"/>
      <w:r w:rsidRPr="00B67CE0">
        <w:rPr>
          <w:lang w:val="en-US"/>
        </w:rPr>
        <w:t>tahlilchilari</w:t>
      </w:r>
      <w:proofErr w:type="spellEnd"/>
      <w:r w:rsidRPr="00B67CE0">
        <w:rPr>
          <w:lang w:val="en-US"/>
        </w:rPr>
        <w:t xml:space="preserve"> 2025–2035-yillar </w:t>
      </w:r>
      <w:proofErr w:type="spellStart"/>
      <w:r w:rsidRPr="00B67CE0">
        <w:rPr>
          <w:lang w:val="en-US"/>
        </w:rPr>
        <w:t>davrida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mamlakat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rivojlanishining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to‘</w:t>
      </w:r>
      <w:proofErr w:type="gramEnd"/>
      <w:r w:rsidRPr="00B67CE0">
        <w:rPr>
          <w:lang w:val="en-US"/>
        </w:rPr>
        <w:t>rtta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ehtimoliy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ssenariysini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modellashtirdi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Ushbu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ssenariylar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xomashyoga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lgan</w:t>
      </w:r>
      <w:proofErr w:type="spellEnd"/>
      <w:r w:rsidRPr="00B67CE0">
        <w:rPr>
          <w:lang w:val="en-US"/>
        </w:rPr>
        <w:t xml:space="preserve"> global talab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jahon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savdosidagi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to‘</w:t>
      </w:r>
      <w:proofErr w:type="gramEnd"/>
      <w:r w:rsidRPr="00B67CE0">
        <w:rPr>
          <w:lang w:val="en-US"/>
        </w:rPr>
        <w:t>siqlar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darajasiga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bog‘</w:t>
      </w:r>
      <w:proofErr w:type="gramEnd"/>
      <w:r w:rsidRPr="00B67CE0">
        <w:rPr>
          <w:lang w:val="en-US"/>
        </w:rPr>
        <w:t>liq</w:t>
      </w:r>
      <w:proofErr w:type="spellEnd"/>
      <w:r w:rsidRPr="00B67CE0">
        <w:rPr>
          <w:lang w:val="en-US"/>
        </w:rPr>
        <w:t>.</w:t>
      </w:r>
    </w:p>
    <w:p w14:paraId="7A9401AB" w14:textId="77777777" w:rsidR="00B67CE0" w:rsidRDefault="00B67CE0" w:rsidP="00B67CE0">
      <w:pPr>
        <w:pStyle w:val="3"/>
      </w:pPr>
      <w:proofErr w:type="spellStart"/>
      <w:r>
        <w:t>Murakkab</w:t>
      </w:r>
      <w:proofErr w:type="spellEnd"/>
      <w:r>
        <w:t xml:space="preserve"> </w:t>
      </w:r>
      <w:proofErr w:type="spellStart"/>
      <w:r>
        <w:t>bitimlar</w:t>
      </w:r>
      <w:proofErr w:type="spellEnd"/>
      <w:r>
        <w:t xml:space="preserve"> </w:t>
      </w:r>
      <w:proofErr w:type="spellStart"/>
      <w:r>
        <w:t>davri</w:t>
      </w:r>
      <w:proofErr w:type="spellEnd"/>
      <w:r>
        <w:t xml:space="preserve"> (Era of Complex Deals)</w:t>
      </w:r>
    </w:p>
    <w:p w14:paraId="1B10EA98" w14:textId="77777777" w:rsidR="00B67CE0" w:rsidRPr="00B67CE0" w:rsidRDefault="00B67CE0" w:rsidP="00B67CE0">
      <w:pPr>
        <w:pStyle w:val="isselectedend"/>
        <w:rPr>
          <w:lang w:val="en-US"/>
        </w:rPr>
      </w:pPr>
      <w:r w:rsidRPr="00B67CE0">
        <w:rPr>
          <w:lang w:val="en-US"/>
        </w:rPr>
        <w:t xml:space="preserve">Bu </w:t>
      </w:r>
      <w:proofErr w:type="spellStart"/>
      <w:r w:rsidRPr="00B67CE0">
        <w:rPr>
          <w:lang w:val="en-US"/>
        </w:rPr>
        <w:t>eng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qulay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ssenariy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lib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unda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mamlakat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bir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vaqtning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zida</w:t>
      </w:r>
      <w:proofErr w:type="spellEnd"/>
      <w:r w:rsidRPr="00B67CE0">
        <w:rPr>
          <w:lang w:val="en-US"/>
        </w:rPr>
        <w:t xml:space="preserve"> ham </w:t>
      </w:r>
      <w:proofErr w:type="spellStart"/>
      <w:r w:rsidRPr="00B67CE0">
        <w:rPr>
          <w:lang w:val="en-US"/>
        </w:rPr>
        <w:t>xomashyo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bazasini</w:t>
      </w:r>
      <w:proofErr w:type="spellEnd"/>
      <w:r w:rsidRPr="00B67CE0">
        <w:rPr>
          <w:lang w:val="en-US"/>
        </w:rPr>
        <w:t xml:space="preserve">, ham </w:t>
      </w:r>
      <w:proofErr w:type="spellStart"/>
      <w:r w:rsidRPr="00B67CE0">
        <w:rPr>
          <w:lang w:val="en-US"/>
        </w:rPr>
        <w:t>qayta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ishlash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sanoatini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rivojlantirish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imkoniyatiga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ega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ladi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Xorijiy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kapital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tarkiblashtirilgan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uzoq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muddatli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investitsiyalar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orqali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jalb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qilinadi</w:t>
      </w:r>
      <w:proofErr w:type="spellEnd"/>
      <w:r w:rsidRPr="00B67CE0">
        <w:rPr>
          <w:lang w:val="en-US"/>
        </w:rPr>
        <w:t xml:space="preserve">. Bunda </w:t>
      </w:r>
      <w:proofErr w:type="spellStart"/>
      <w:r w:rsidRPr="00B67CE0">
        <w:rPr>
          <w:lang w:val="en-US"/>
        </w:rPr>
        <w:t>majburiy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shart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sifatida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ishlab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chiqarishni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zbekiston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hududida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mahalliylashtirish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yuqori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texnologiyalar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transferiga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qat’iy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bog‘</w:t>
      </w:r>
      <w:proofErr w:type="gramEnd"/>
      <w:r w:rsidRPr="00B67CE0">
        <w:rPr>
          <w:lang w:val="en-US"/>
        </w:rPr>
        <w:t>liqlik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belgilanadi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Ushbu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ssenariyda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investorlar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qo‘</w:t>
      </w:r>
      <w:proofErr w:type="gramEnd"/>
      <w:r w:rsidRPr="00B67CE0">
        <w:rPr>
          <w:lang w:val="en-US"/>
        </w:rPr>
        <w:t>shma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korxonalar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tashkil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etishi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mahalliy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mutaxassislarni</w:t>
      </w:r>
      <w:proofErr w:type="spellEnd"/>
      <w:r w:rsidRPr="00B67CE0">
        <w:rPr>
          <w:lang w:val="en-US"/>
        </w:rPr>
        <w:t xml:space="preserve"> R&amp;D </w:t>
      </w:r>
      <w:proofErr w:type="spellStart"/>
      <w:r w:rsidRPr="00B67CE0">
        <w:rPr>
          <w:lang w:val="en-US"/>
        </w:rPr>
        <w:t>jarayonlariga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integratsiya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qilishi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zarur</w:t>
      </w:r>
      <w:proofErr w:type="spellEnd"/>
      <w:r w:rsidRPr="00B67CE0">
        <w:rPr>
          <w:lang w:val="en-US"/>
        </w:rPr>
        <w:t>.</w:t>
      </w:r>
    </w:p>
    <w:p w14:paraId="73048B3A" w14:textId="77777777" w:rsidR="00B67CE0" w:rsidRDefault="00B67CE0" w:rsidP="00B67CE0">
      <w:pPr>
        <w:pStyle w:val="3"/>
      </w:pPr>
      <w:proofErr w:type="spellStart"/>
      <w:r>
        <w:t>Vositachilik</w:t>
      </w:r>
      <w:proofErr w:type="spellEnd"/>
      <w:r>
        <w:t xml:space="preserve"> </w:t>
      </w:r>
      <w:proofErr w:type="spellStart"/>
      <w:r>
        <w:t>renessansi</w:t>
      </w:r>
      <w:proofErr w:type="spellEnd"/>
      <w:r>
        <w:t xml:space="preserve"> (Renaissance of Mediation)</w:t>
      </w:r>
    </w:p>
    <w:p w14:paraId="105E3140" w14:textId="77777777" w:rsidR="00B67CE0" w:rsidRPr="00B67CE0" w:rsidRDefault="00B67CE0" w:rsidP="00B67CE0">
      <w:pPr>
        <w:pStyle w:val="isselectedend"/>
        <w:rPr>
          <w:lang w:val="en-US"/>
        </w:rPr>
      </w:pPr>
      <w:proofErr w:type="spellStart"/>
      <w:r w:rsidRPr="00B67CE0">
        <w:rPr>
          <w:lang w:val="en-US"/>
        </w:rPr>
        <w:t>Mazkur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ssenariy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jahon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bozorida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savdo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to‘</w:t>
      </w:r>
      <w:proofErr w:type="gramEnd"/>
      <w:r w:rsidRPr="00B67CE0">
        <w:rPr>
          <w:lang w:val="en-US"/>
        </w:rPr>
        <w:t>siqlari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yuqori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lgan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biroq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resurslarga</w:t>
      </w:r>
      <w:proofErr w:type="spellEnd"/>
      <w:r w:rsidRPr="00B67CE0">
        <w:rPr>
          <w:lang w:val="en-US"/>
        </w:rPr>
        <w:t xml:space="preserve"> talab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rtacha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darajada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saqlanib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qolgan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sharoitda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dolzarb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ladi</w:t>
      </w:r>
      <w:proofErr w:type="spellEnd"/>
      <w:r w:rsidRPr="00B67CE0">
        <w:rPr>
          <w:lang w:val="en-US"/>
        </w:rPr>
        <w:t xml:space="preserve">.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zbekiston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logistika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sohasidagi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imkoniyatlarini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maksimal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darajada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ishga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soladi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eksport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tashabbuslari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tovarlarni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oraliq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qayta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ishlash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loyihalarini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kengaytiradi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hamda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parchalanib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borayotgan</w:t>
      </w:r>
      <w:proofErr w:type="spellEnd"/>
      <w:r w:rsidRPr="00B67CE0">
        <w:rPr>
          <w:lang w:val="en-US"/>
        </w:rPr>
        <w:t xml:space="preserve"> global </w:t>
      </w:r>
      <w:proofErr w:type="spellStart"/>
      <w:r w:rsidRPr="00B67CE0">
        <w:rPr>
          <w:lang w:val="en-US"/>
        </w:rPr>
        <w:t>yetkazib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berish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zanjirlarida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bog‘</w:t>
      </w:r>
      <w:proofErr w:type="gramEnd"/>
      <w:r w:rsidRPr="00B67CE0">
        <w:rPr>
          <w:lang w:val="en-US"/>
        </w:rPr>
        <w:t>lovchi</w:t>
      </w:r>
      <w:proofErr w:type="spellEnd"/>
      <w:r w:rsidRPr="00B67CE0">
        <w:rPr>
          <w:lang w:val="en-US"/>
        </w:rPr>
        <w:t xml:space="preserve"> markaz </w:t>
      </w:r>
      <w:proofErr w:type="spellStart"/>
      <w:r w:rsidRPr="00B67CE0">
        <w:rPr>
          <w:lang w:val="en-US"/>
        </w:rPr>
        <w:t>vazifasini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bajaradi</w:t>
      </w:r>
      <w:proofErr w:type="spellEnd"/>
      <w:r w:rsidRPr="00B67CE0">
        <w:rPr>
          <w:lang w:val="en-US"/>
        </w:rPr>
        <w:t>.</w:t>
      </w:r>
    </w:p>
    <w:p w14:paraId="08941D6D" w14:textId="77777777" w:rsidR="00B67CE0" w:rsidRDefault="00B67CE0" w:rsidP="00B67CE0">
      <w:pPr>
        <w:pStyle w:val="3"/>
      </w:pPr>
      <w:proofErr w:type="spellStart"/>
      <w:r>
        <w:t>Klondayk</w:t>
      </w:r>
      <w:proofErr w:type="spellEnd"/>
      <w:r>
        <w:t xml:space="preserve"> (Klondike)</w:t>
      </w:r>
    </w:p>
    <w:p w14:paraId="3539826A" w14:textId="77777777" w:rsidR="00B67CE0" w:rsidRPr="00B67CE0" w:rsidRDefault="00B67CE0" w:rsidP="00B67CE0">
      <w:pPr>
        <w:pStyle w:val="isselectedend"/>
        <w:rPr>
          <w:lang w:val="en-US"/>
        </w:rPr>
      </w:pPr>
      <w:r w:rsidRPr="00B67CE0">
        <w:rPr>
          <w:lang w:val="en-US"/>
        </w:rPr>
        <w:t xml:space="preserve">Bu </w:t>
      </w:r>
      <w:proofErr w:type="spellStart"/>
      <w:r w:rsidRPr="00B67CE0">
        <w:rPr>
          <w:lang w:val="en-US"/>
        </w:rPr>
        <w:t>klassik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xomashyo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bumi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ssenariysidir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Resurslarga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xususan</w:t>
      </w:r>
      <w:proofErr w:type="spellEnd"/>
      <w:r w:rsidRPr="00B67CE0">
        <w:rPr>
          <w:lang w:val="en-US"/>
        </w:rPr>
        <w:t xml:space="preserve"> mis, </w:t>
      </w:r>
      <w:proofErr w:type="spellStart"/>
      <w:r w:rsidRPr="00B67CE0">
        <w:rPr>
          <w:lang w:val="en-US"/>
        </w:rPr>
        <w:t>uran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oltinga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yuqori</w:t>
      </w:r>
      <w:proofErr w:type="spellEnd"/>
      <w:r w:rsidRPr="00B67CE0">
        <w:rPr>
          <w:lang w:val="en-US"/>
        </w:rPr>
        <w:t xml:space="preserve"> global talab </w:t>
      </w:r>
      <w:proofErr w:type="spellStart"/>
      <w:r w:rsidRPr="00B67CE0">
        <w:rPr>
          <w:lang w:val="en-US"/>
        </w:rPr>
        <w:t>iqtisodiyotning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qazib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olish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sektorida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jadal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sishni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rag‘</w:t>
      </w:r>
      <w:proofErr w:type="gramEnd"/>
      <w:r w:rsidRPr="00B67CE0">
        <w:rPr>
          <w:lang w:val="en-US"/>
        </w:rPr>
        <w:t>batlantiradi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Ushbu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ssenariyning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xavfi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shundaki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xomashyodan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olinadigan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ortiqcha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daromadlar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iqtisodiyotning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umumiy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diversifikatsiyasini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cheklashi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mumkin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Chunki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kapital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asosan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katta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mablag</w:t>
      </w:r>
      <w:proofErr w:type="spellEnd"/>
      <w:r w:rsidRPr="00B67CE0">
        <w:rPr>
          <w:lang w:val="en-US"/>
        </w:rPr>
        <w:t>‘ talab</w:t>
      </w:r>
      <w:proofErr w:type="gram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qiladigan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qazib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olish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loyihalariga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yo‘</w:t>
      </w:r>
      <w:proofErr w:type="gramEnd"/>
      <w:r w:rsidRPr="00B67CE0">
        <w:rPr>
          <w:lang w:val="en-US"/>
        </w:rPr>
        <w:t>naltirilib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texnologik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xizmat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ko‘</w:t>
      </w:r>
      <w:proofErr w:type="gramEnd"/>
      <w:r w:rsidRPr="00B67CE0">
        <w:rPr>
          <w:lang w:val="en-US"/>
        </w:rPr>
        <w:t>rsatish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tarmoqlari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yetarlicha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moliyalashtirilmay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qoladi</w:t>
      </w:r>
      <w:proofErr w:type="spellEnd"/>
      <w:r w:rsidRPr="00B67CE0">
        <w:rPr>
          <w:lang w:val="en-US"/>
        </w:rPr>
        <w:t>.</w:t>
      </w:r>
    </w:p>
    <w:p w14:paraId="7A4CEF9A" w14:textId="77777777" w:rsidR="00B67CE0" w:rsidRDefault="00B67CE0" w:rsidP="00B67CE0">
      <w:pPr>
        <w:pStyle w:val="3"/>
      </w:pPr>
      <w:proofErr w:type="spellStart"/>
      <w:r>
        <w:t>Sokinlik</w:t>
      </w:r>
      <w:proofErr w:type="spellEnd"/>
      <w:r>
        <w:t xml:space="preserve"> (Calm)</w:t>
      </w:r>
    </w:p>
    <w:p w14:paraId="7490D1A4" w14:textId="77777777" w:rsidR="00B67CE0" w:rsidRPr="00B67CE0" w:rsidRDefault="00B67CE0" w:rsidP="00B67CE0">
      <w:pPr>
        <w:pStyle w:val="isselectedend"/>
        <w:rPr>
          <w:lang w:val="en-US"/>
        </w:rPr>
      </w:pPr>
      <w:r w:rsidRPr="00B67CE0">
        <w:rPr>
          <w:lang w:val="en-US"/>
        </w:rPr>
        <w:t xml:space="preserve">Bu </w:t>
      </w:r>
      <w:proofErr w:type="spellStart"/>
      <w:r w:rsidRPr="00B67CE0">
        <w:rPr>
          <w:lang w:val="en-US"/>
        </w:rPr>
        <w:t>eng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pessimistik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ssenariy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lib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dunyodagi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retsession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jarayonlar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sababli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iqtisodiy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sishning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sezilarli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sekinlashishini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nazarda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tutadi</w:t>
      </w:r>
      <w:proofErr w:type="spellEnd"/>
      <w:r w:rsidRPr="00B67CE0">
        <w:rPr>
          <w:lang w:val="en-US"/>
        </w:rPr>
        <w:t xml:space="preserve">. Bunday </w:t>
      </w:r>
      <w:proofErr w:type="spellStart"/>
      <w:r w:rsidRPr="00B67CE0">
        <w:rPr>
          <w:lang w:val="en-US"/>
        </w:rPr>
        <w:t>vaziyatda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korporativ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sektor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davlat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asosiy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moslashuv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mexanizmi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Markaziy</w:t>
      </w:r>
      <w:proofErr w:type="spellEnd"/>
      <w:r w:rsidRPr="00B67CE0">
        <w:rPr>
          <w:lang w:val="en-US"/>
        </w:rPr>
        <w:t xml:space="preserve"> Osiyo </w:t>
      </w:r>
      <w:proofErr w:type="spellStart"/>
      <w:r w:rsidRPr="00B67CE0">
        <w:rPr>
          <w:lang w:val="en-US"/>
        </w:rPr>
        <w:t>doirasida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mintaqaviy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kooperatsiyani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jadallashtirish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savdo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bozorlarini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birlashtirish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operatsion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xarajatlarni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qat’iy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nazorat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qilishdan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iborat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ladi</w:t>
      </w:r>
      <w:proofErr w:type="spellEnd"/>
      <w:r w:rsidRPr="00B67CE0">
        <w:rPr>
          <w:lang w:val="en-US"/>
        </w:rPr>
        <w:t>.</w:t>
      </w:r>
    </w:p>
    <w:p w14:paraId="72C77397" w14:textId="77777777" w:rsidR="00B67CE0" w:rsidRPr="00B67CE0" w:rsidRDefault="00B67CE0" w:rsidP="00B67CE0">
      <w:pPr>
        <w:pStyle w:val="isselectedend"/>
        <w:rPr>
          <w:lang w:val="en-US"/>
        </w:rPr>
      </w:pPr>
      <w:proofErr w:type="spellStart"/>
      <w:r w:rsidRPr="00B67CE0">
        <w:rPr>
          <w:lang w:val="en-US"/>
        </w:rPr>
        <w:t>Noaniqlik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yangi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me’yorga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aylanganini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inobatga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olgan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holda</w:t>
      </w:r>
      <w:proofErr w:type="spellEnd"/>
      <w:r w:rsidRPr="00B67CE0">
        <w:rPr>
          <w:lang w:val="en-US"/>
        </w:rPr>
        <w:t xml:space="preserve">, BCG </w:t>
      </w:r>
      <w:proofErr w:type="spellStart"/>
      <w:r w:rsidRPr="00B67CE0">
        <w:rPr>
          <w:lang w:val="en-US"/>
        </w:rPr>
        <w:t>hukumat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investorlarga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faoliyatni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bir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nechta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ssenariyni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hisobga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olgan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holda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rejalashtirishni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erta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ogohlantiruvchi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indikatorlar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tizimi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moslashuv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mexanizmlaridan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foydalanishni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tavsiya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etadi</w:t>
      </w:r>
      <w:proofErr w:type="spellEnd"/>
      <w:r w:rsidRPr="00B67CE0">
        <w:rPr>
          <w:lang w:val="en-US"/>
        </w:rPr>
        <w:t>.</w:t>
      </w:r>
    </w:p>
    <w:p w14:paraId="68AA612A" w14:textId="77777777" w:rsidR="00B67CE0" w:rsidRPr="00B67CE0" w:rsidRDefault="00B67CE0" w:rsidP="00B67CE0">
      <w:pPr>
        <w:pStyle w:val="af0"/>
        <w:rPr>
          <w:i/>
          <w:iCs/>
          <w:sz w:val="20"/>
          <w:szCs w:val="20"/>
          <w:lang w:val="en-US"/>
        </w:rPr>
      </w:pPr>
      <w:proofErr w:type="spellStart"/>
      <w:r w:rsidRPr="00B67CE0">
        <w:rPr>
          <w:i/>
          <w:iCs/>
          <w:sz w:val="20"/>
          <w:szCs w:val="20"/>
          <w:lang w:val="en-US"/>
        </w:rPr>
        <w:t>Manba</w:t>
      </w:r>
      <w:proofErr w:type="spellEnd"/>
      <w:r w:rsidRPr="00B67CE0">
        <w:rPr>
          <w:i/>
          <w:iCs/>
          <w:sz w:val="20"/>
          <w:szCs w:val="20"/>
          <w:lang w:val="en-US"/>
        </w:rPr>
        <w:t xml:space="preserve">: BCG, “Why Investors Are Turning to Central Asia and Caspian”, 2025-yil </w:t>
      </w:r>
      <w:proofErr w:type="spellStart"/>
      <w:r w:rsidRPr="00B67CE0">
        <w:rPr>
          <w:i/>
          <w:iCs/>
          <w:sz w:val="20"/>
          <w:szCs w:val="20"/>
          <w:lang w:val="en-US"/>
        </w:rPr>
        <w:t>sentabr</w:t>
      </w:r>
      <w:proofErr w:type="spellEnd"/>
    </w:p>
    <w:p w14:paraId="10869BEF" w14:textId="77777777" w:rsidR="00293A77" w:rsidRPr="003337A5" w:rsidRDefault="007719E0">
      <w:r w:rsidRPr="003337A5">
        <w:br w:type="page"/>
      </w:r>
    </w:p>
    <w:p w14:paraId="5FF6B263" w14:textId="77777777" w:rsidR="00B67CE0" w:rsidRDefault="00B67CE0" w:rsidP="00B67CE0">
      <w:pPr>
        <w:pStyle w:val="2"/>
      </w:pPr>
      <w:r>
        <w:lastRenderedPageBreak/>
        <w:t xml:space="preserve">Global </w:t>
      </w:r>
      <w:proofErr w:type="spellStart"/>
      <w:r>
        <w:t>mobillik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iste’dodlarni</w:t>
      </w:r>
      <w:proofErr w:type="spellEnd"/>
      <w:r>
        <w:t xml:space="preserve"> </w:t>
      </w:r>
      <w:proofErr w:type="spellStart"/>
      <w:r>
        <w:t>boshqarishning</w:t>
      </w:r>
      <w:proofErr w:type="spellEnd"/>
      <w:r>
        <w:t xml:space="preserve"> </w:t>
      </w:r>
      <w:proofErr w:type="spellStart"/>
      <w:r>
        <w:t>yangi</w:t>
      </w:r>
      <w:proofErr w:type="spellEnd"/>
      <w:r>
        <w:t xml:space="preserve"> </w:t>
      </w:r>
      <w:proofErr w:type="spellStart"/>
      <w:r>
        <w:t>davri</w:t>
      </w:r>
      <w:proofErr w:type="spellEnd"/>
    </w:p>
    <w:p w14:paraId="1626681E" w14:textId="77777777" w:rsidR="00B67CE0" w:rsidRPr="00B67CE0" w:rsidRDefault="00B67CE0" w:rsidP="00B67CE0">
      <w:pPr>
        <w:pStyle w:val="isselectedend"/>
        <w:rPr>
          <w:lang w:val="en-US"/>
        </w:rPr>
      </w:pPr>
      <w:proofErr w:type="spellStart"/>
      <w:r w:rsidRPr="00B67CE0">
        <w:rPr>
          <w:lang w:val="en-US"/>
        </w:rPr>
        <w:t>Texnologik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yuksalish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geosiyosiy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zgarishlar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fonida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Markaziy</w:t>
      </w:r>
      <w:proofErr w:type="spellEnd"/>
      <w:r w:rsidRPr="00B67CE0">
        <w:rPr>
          <w:lang w:val="en-US"/>
        </w:rPr>
        <w:t xml:space="preserve"> Osiyo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Kavkaz </w:t>
      </w:r>
      <w:proofErr w:type="spellStart"/>
      <w:r w:rsidRPr="00B67CE0">
        <w:rPr>
          <w:lang w:val="en-US"/>
        </w:rPr>
        <w:t>kabi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rivojlanayotgan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hududlarda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malakali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kadrlarni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jalb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ushlab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qolish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masalalari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nihoyatda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muhim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ahamiyat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kasb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etmoqda</w:t>
      </w:r>
      <w:proofErr w:type="spellEnd"/>
      <w:r w:rsidRPr="00B67CE0">
        <w:rPr>
          <w:lang w:val="en-US"/>
        </w:rPr>
        <w:t xml:space="preserve">. 2026-yilda </w:t>
      </w:r>
      <w:proofErr w:type="spellStart"/>
      <w:r w:rsidRPr="00B67CE0">
        <w:rPr>
          <w:lang w:val="en-US"/>
        </w:rPr>
        <w:t>e’lon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qilingan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KPMGning</w:t>
      </w:r>
      <w:proofErr w:type="spellEnd"/>
      <w:r w:rsidRPr="00B67CE0">
        <w:rPr>
          <w:lang w:val="en-US"/>
        </w:rPr>
        <w:t xml:space="preserve"> “2025/2026 Global Mobility Benchmarking Report” </w:t>
      </w:r>
      <w:proofErr w:type="spellStart"/>
      <w:r w:rsidRPr="00B67CE0">
        <w:rPr>
          <w:lang w:val="en-US"/>
        </w:rPr>
        <w:t>keng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qamrovli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hisobotida</w:t>
      </w:r>
      <w:proofErr w:type="spellEnd"/>
      <w:r w:rsidRPr="00B67CE0">
        <w:rPr>
          <w:lang w:val="en-US"/>
        </w:rPr>
        <w:t xml:space="preserve"> 12 ta </w:t>
      </w:r>
      <w:proofErr w:type="spellStart"/>
      <w:r w:rsidRPr="00B67CE0">
        <w:rPr>
          <w:lang w:val="en-US"/>
        </w:rPr>
        <w:t>sohada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faoliyat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yurituvchi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29 ta </w:t>
      </w:r>
      <w:proofErr w:type="spellStart"/>
      <w:r w:rsidRPr="00B67CE0">
        <w:rPr>
          <w:lang w:val="en-US"/>
        </w:rPr>
        <w:t>yurisdiksiyada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ishlovchi</w:t>
      </w:r>
      <w:proofErr w:type="spellEnd"/>
      <w:r w:rsidRPr="00B67CE0">
        <w:rPr>
          <w:lang w:val="en-US"/>
        </w:rPr>
        <w:t xml:space="preserve"> 456 ta </w:t>
      </w:r>
      <w:proofErr w:type="spellStart"/>
      <w:r w:rsidRPr="00B67CE0">
        <w:rPr>
          <w:lang w:val="en-US"/>
        </w:rPr>
        <w:t>transmilliy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korxona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rtasida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tkazilgan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so‘</w:t>
      </w:r>
      <w:proofErr w:type="gramEnd"/>
      <w:r w:rsidRPr="00B67CE0">
        <w:rPr>
          <w:lang w:val="en-US"/>
        </w:rPr>
        <w:t>rov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natijalari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asosida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tahliliy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ma’lumotlar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taqdim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etilgan</w:t>
      </w:r>
      <w:proofErr w:type="spellEnd"/>
      <w:r w:rsidRPr="00B67CE0">
        <w:rPr>
          <w:lang w:val="en-US"/>
        </w:rPr>
        <w:t>.</w:t>
      </w:r>
    </w:p>
    <w:p w14:paraId="5A750CCE" w14:textId="77777777" w:rsidR="00B67CE0" w:rsidRDefault="00B67CE0" w:rsidP="00B67CE0">
      <w:pPr>
        <w:pStyle w:val="isselectedend"/>
      </w:pPr>
      <w:r w:rsidRPr="00B67CE0">
        <w:rPr>
          <w:lang w:val="en-US"/>
        </w:rPr>
        <w:t xml:space="preserve">KPMG </w:t>
      </w:r>
      <w:proofErr w:type="spellStart"/>
      <w:r w:rsidRPr="00B67CE0">
        <w:rPr>
          <w:lang w:val="en-US"/>
        </w:rPr>
        <w:t>hamkorlari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Kaxa</w:t>
      </w:r>
      <w:proofErr w:type="spellEnd"/>
      <w:r w:rsidRPr="00B67CE0">
        <w:rPr>
          <w:lang w:val="en-US"/>
        </w:rPr>
        <w:t xml:space="preserve"> Ruxadze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Sardor </w:t>
      </w:r>
      <w:proofErr w:type="spellStart"/>
      <w:r w:rsidRPr="00B67CE0">
        <w:rPr>
          <w:lang w:val="en-US"/>
        </w:rPr>
        <w:t>Shermatov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ta’kidlaganidek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korporatsiyalarning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Markaziy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Osiyoda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tezkor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xalqaro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kengayishi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iste’dodlar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keskin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raqobatni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yuzaga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keltirdi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Bugungi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kunda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mobillik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yo‘</w:t>
      </w:r>
      <w:proofErr w:type="gramEnd"/>
      <w:r w:rsidRPr="00B67CE0">
        <w:rPr>
          <w:lang w:val="en-US"/>
        </w:rPr>
        <w:t>nalishlari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rahbarlarining</w:t>
      </w:r>
      <w:proofErr w:type="spellEnd"/>
      <w:r w:rsidRPr="00B67CE0">
        <w:rPr>
          <w:lang w:val="en-US"/>
        </w:rPr>
        <w:t xml:space="preserve"> 82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ROI’ni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namoyish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etishni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asosiy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muammo</w:t>
      </w:r>
      <w:proofErr w:type="spellEnd"/>
      <w:r w:rsidRPr="00B67CE0">
        <w:rPr>
          <w:lang w:val="en-US"/>
        </w:rPr>
        <w:t xml:space="preserve"> deb </w:t>
      </w:r>
      <w:proofErr w:type="spellStart"/>
      <w:r w:rsidRPr="00B67CE0">
        <w:rPr>
          <w:lang w:val="en-US"/>
        </w:rPr>
        <w:t>hisoblaydi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Kompaniyalarning</w:t>
      </w:r>
      <w:proofErr w:type="spellEnd"/>
      <w:r w:rsidRPr="00B67CE0">
        <w:rPr>
          <w:lang w:val="en-US"/>
        </w:rPr>
        <w:t xml:space="preserve"> 60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qisqa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muddatli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loyiha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tayinlovlaridan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faol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foydalanmoqda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Tashkilotlarning</w:t>
      </w:r>
      <w:proofErr w:type="spellEnd"/>
      <w:r w:rsidRPr="00B67CE0">
        <w:rPr>
          <w:lang w:val="en-US"/>
        </w:rPr>
        <w:t xml:space="preserve"> 43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takrorlanuvchi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vazifalarni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sun’iy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intellektga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topshirgan</w:t>
      </w:r>
      <w:proofErr w:type="spellEnd"/>
      <w:r w:rsidRPr="00B67CE0">
        <w:rPr>
          <w:lang w:val="en-US"/>
        </w:rPr>
        <w:t xml:space="preserve">, 62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esa</w:t>
      </w:r>
      <w:proofErr w:type="spellEnd"/>
      <w:r w:rsidRPr="00B67CE0">
        <w:rPr>
          <w:lang w:val="en-US"/>
        </w:rPr>
        <w:t xml:space="preserve"> 2026-yilda </w:t>
      </w:r>
      <w:proofErr w:type="spellStart"/>
      <w:r w:rsidRPr="00B67CE0">
        <w:rPr>
          <w:lang w:val="en-US"/>
        </w:rPr>
        <w:t>texnologiyalarga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yirik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investitsiyalar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kiritishni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rejalashtirmoqda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Taqqoslash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, 2025-yilda </w:t>
      </w:r>
      <w:proofErr w:type="spellStart"/>
      <w:r w:rsidRPr="00B67CE0">
        <w:rPr>
          <w:lang w:val="en-US"/>
        </w:rPr>
        <w:t>bu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ko‘</w:t>
      </w:r>
      <w:proofErr w:type="gramEnd"/>
      <w:r w:rsidRPr="00B67CE0">
        <w:rPr>
          <w:lang w:val="en-US"/>
        </w:rPr>
        <w:t>rsatkich</w:t>
      </w:r>
      <w:proofErr w:type="spellEnd"/>
      <w:r w:rsidRPr="00B67CE0">
        <w:rPr>
          <w:lang w:val="en-US"/>
        </w:rPr>
        <w:t xml:space="preserve"> 31 </w:t>
      </w:r>
      <w:proofErr w:type="spellStart"/>
      <w:r w:rsidRPr="00B67CE0">
        <w:rPr>
          <w:lang w:val="en-US"/>
        </w:rPr>
        <w:t>foizni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tashkil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etgan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Asosiy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to‘</w:t>
      </w:r>
      <w:proofErr w:type="gramEnd"/>
      <w:r w:rsidRPr="00B67CE0">
        <w:rPr>
          <w:lang w:val="en-US"/>
        </w:rPr>
        <w:t>siq</w:t>
      </w:r>
      <w:proofErr w:type="spellEnd"/>
      <w:r w:rsidRPr="00B67CE0">
        <w:rPr>
          <w:lang w:val="en-US"/>
        </w:rPr>
        <w:t xml:space="preserve"> — </w:t>
      </w:r>
      <w:proofErr w:type="spellStart"/>
      <w:r w:rsidRPr="00B67CE0">
        <w:rPr>
          <w:lang w:val="en-US"/>
        </w:rPr>
        <w:t>ma’lumotlar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sifati</w:t>
      </w:r>
      <w:proofErr w:type="spellEnd"/>
      <w:r w:rsidRPr="00B67CE0">
        <w:rPr>
          <w:lang w:val="en-US"/>
        </w:rPr>
        <w:t xml:space="preserve">: 72 </w:t>
      </w:r>
      <w:proofErr w:type="spellStart"/>
      <w:r w:rsidRPr="00B67CE0">
        <w:rPr>
          <w:lang w:val="en-US"/>
        </w:rPr>
        <w:t>foiz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kompaniyalar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qiyinchiliklarga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duch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kelmoqda</w:t>
      </w:r>
      <w:proofErr w:type="spellEnd"/>
      <w:r w:rsidRPr="00B67CE0">
        <w:rPr>
          <w:lang w:val="en-US"/>
        </w:rPr>
        <w:t xml:space="preserve">, 55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esa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ma’lumotlar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fragmentatsiyasidan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shikoyat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qilmoqda</w:t>
      </w:r>
      <w:proofErr w:type="spellEnd"/>
      <w:r w:rsidRPr="00B67CE0">
        <w:rPr>
          <w:lang w:val="en-US"/>
        </w:rPr>
        <w:t>.</w:t>
      </w:r>
    </w:p>
    <w:p w14:paraId="1A2E98E0" w14:textId="77777777" w:rsidR="00B67CE0" w:rsidRPr="00B67CE0" w:rsidRDefault="00B67CE0" w:rsidP="00B67CE0">
      <w:pPr>
        <w:pStyle w:val="isselectedend"/>
      </w:pPr>
    </w:p>
    <w:p w14:paraId="577926BB" w14:textId="77777777" w:rsidR="00B67CE0" w:rsidRDefault="00B67CE0" w:rsidP="00B67CE0">
      <w:pPr>
        <w:pStyle w:val="3"/>
      </w:pPr>
      <w:proofErr w:type="spellStart"/>
      <w:r>
        <w:t>KPMGning</w:t>
      </w:r>
      <w:proofErr w:type="spellEnd"/>
      <w:r>
        <w:t xml:space="preserve"> </w:t>
      </w:r>
      <w:proofErr w:type="spellStart"/>
      <w:r>
        <w:t>olti</w:t>
      </w:r>
      <w:proofErr w:type="spellEnd"/>
      <w:r>
        <w:t xml:space="preserve"> </w:t>
      </w:r>
      <w:proofErr w:type="spellStart"/>
      <w:r>
        <w:t>strategik</w:t>
      </w:r>
      <w:proofErr w:type="spellEnd"/>
      <w:r>
        <w:t xml:space="preserve"> </w:t>
      </w:r>
      <w:proofErr w:type="spellStart"/>
      <w:r>
        <w:t>imperativi</w:t>
      </w:r>
      <w:proofErr w:type="spellEnd"/>
      <w:r>
        <w:t xml:space="preserve"> (Six Imperatives)</w:t>
      </w:r>
    </w:p>
    <w:p w14:paraId="5DCFC35A" w14:textId="77777777" w:rsidR="00B67CE0" w:rsidRDefault="00B67CE0" w:rsidP="00B67CE0">
      <w:pPr>
        <w:pStyle w:val="isselectedend"/>
      </w:pPr>
      <w:r w:rsidRPr="00B67CE0">
        <w:rPr>
          <w:lang w:val="en-US"/>
        </w:rPr>
        <w:t xml:space="preserve">• </w:t>
      </w:r>
      <w:r w:rsidRPr="00B67CE0">
        <w:rPr>
          <w:rStyle w:val="af2"/>
          <w:lang w:val="en-US"/>
        </w:rPr>
        <w:t>Set the Vision:</w:t>
      </w:r>
      <w:r w:rsidRPr="00B67CE0">
        <w:rPr>
          <w:lang w:val="en-US"/>
        </w:rPr>
        <w:t xml:space="preserve"> 12–18 oy </w:t>
      </w:r>
      <w:proofErr w:type="spellStart"/>
      <w:r w:rsidRPr="00B67CE0">
        <w:rPr>
          <w:lang w:val="en-US"/>
        </w:rPr>
        <w:t>ichida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qiymat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ko‘rsatkichining</w:t>
      </w:r>
      <w:proofErr w:type="spellEnd"/>
      <w:r w:rsidRPr="00B67CE0">
        <w:rPr>
          <w:lang w:val="en-US"/>
        </w:rPr>
        <w:t xml:space="preserve"> 6,0 </w:t>
      </w:r>
      <w:proofErr w:type="spellStart"/>
      <w:r w:rsidRPr="00B67CE0">
        <w:rPr>
          <w:lang w:val="en-US"/>
        </w:rPr>
        <w:t>balldan</w:t>
      </w:r>
      <w:proofErr w:type="spellEnd"/>
      <w:r w:rsidRPr="00B67CE0">
        <w:rPr>
          <w:lang w:val="en-US"/>
        </w:rPr>
        <w:t xml:space="preserve"> 7,1 </w:t>
      </w:r>
      <w:proofErr w:type="spellStart"/>
      <w:r w:rsidRPr="00B67CE0">
        <w:rPr>
          <w:lang w:val="en-US"/>
        </w:rPr>
        <w:t>ballgacha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o‘sishi</w:t>
      </w:r>
      <w:proofErr w:type="spellEnd"/>
      <w:r w:rsidRPr="00B67CE0">
        <w:rPr>
          <w:lang w:val="en-US"/>
        </w:rPr>
        <w:t>.</w:t>
      </w:r>
      <w:r w:rsidRPr="00B67CE0">
        <w:rPr>
          <w:lang w:val="en-US"/>
        </w:rPr>
        <w:br/>
        <w:t xml:space="preserve">• </w:t>
      </w:r>
      <w:r w:rsidRPr="00B67CE0">
        <w:rPr>
          <w:rStyle w:val="af2"/>
          <w:lang w:val="en-US"/>
        </w:rPr>
        <w:t>Show the Impact / ROI:</w:t>
      </w:r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xarajatlarni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qisqartirish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modelidan</w:t>
      </w:r>
      <w:proofErr w:type="spellEnd"/>
      <w:r w:rsidRPr="00B67CE0">
        <w:rPr>
          <w:lang w:val="en-US"/>
        </w:rPr>
        <w:t xml:space="preserve"> real </w:t>
      </w:r>
      <w:proofErr w:type="spellStart"/>
      <w:r w:rsidRPr="00B67CE0">
        <w:rPr>
          <w:lang w:val="en-US"/>
        </w:rPr>
        <w:t>moliyaviy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natijaga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yo‘naltirilgan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modelga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o‘tish</w:t>
      </w:r>
      <w:proofErr w:type="spellEnd"/>
      <w:r w:rsidRPr="00B67CE0">
        <w:rPr>
          <w:lang w:val="en-US"/>
        </w:rPr>
        <w:t>.</w:t>
      </w:r>
      <w:r w:rsidRPr="00B67CE0">
        <w:rPr>
          <w:lang w:val="en-US"/>
        </w:rPr>
        <w:br/>
        <w:t xml:space="preserve">• </w:t>
      </w:r>
      <w:r w:rsidRPr="00B67CE0">
        <w:rPr>
          <w:rStyle w:val="af2"/>
          <w:lang w:val="en-US"/>
        </w:rPr>
        <w:t>Empower the Team:</w:t>
      </w:r>
      <w:r w:rsidRPr="00B67CE0">
        <w:rPr>
          <w:lang w:val="en-US"/>
        </w:rPr>
        <w:t xml:space="preserve"> HR </w:t>
      </w:r>
      <w:proofErr w:type="spellStart"/>
      <w:r w:rsidRPr="00B67CE0">
        <w:rPr>
          <w:lang w:val="en-US"/>
        </w:rPr>
        <w:t>xodimlarining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malakasini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oshirish</w:t>
      </w:r>
      <w:proofErr w:type="spellEnd"/>
      <w:r w:rsidRPr="00B67CE0">
        <w:rPr>
          <w:lang w:val="en-US"/>
        </w:rPr>
        <w:t xml:space="preserve"> — </w:t>
      </w:r>
      <w:proofErr w:type="spellStart"/>
      <w:r w:rsidRPr="00B67CE0">
        <w:rPr>
          <w:lang w:val="en-US"/>
        </w:rPr>
        <w:t>rahbarlarning</w:t>
      </w:r>
      <w:proofErr w:type="spellEnd"/>
      <w:r w:rsidRPr="00B67CE0">
        <w:rPr>
          <w:lang w:val="en-US"/>
        </w:rPr>
        <w:t xml:space="preserve"> 29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ustuvor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yo‘nalish</w:t>
      </w:r>
      <w:proofErr w:type="spellEnd"/>
      <w:r w:rsidRPr="00B67CE0">
        <w:rPr>
          <w:lang w:val="en-US"/>
        </w:rPr>
        <w:t xml:space="preserve">; 79 </w:t>
      </w:r>
      <w:proofErr w:type="spellStart"/>
      <w:r w:rsidRPr="00B67CE0">
        <w:rPr>
          <w:lang w:val="en-US"/>
        </w:rPr>
        <w:t>foiz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respondentlar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provayderlar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bilan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kuchli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hamkorlikni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qayd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etadi</w:t>
      </w:r>
      <w:proofErr w:type="spellEnd"/>
      <w:r w:rsidRPr="00B67CE0">
        <w:rPr>
          <w:lang w:val="en-US"/>
        </w:rPr>
        <w:t>.</w:t>
      </w:r>
      <w:r w:rsidRPr="00B67CE0">
        <w:rPr>
          <w:lang w:val="en-US"/>
        </w:rPr>
        <w:br/>
        <w:t xml:space="preserve">• </w:t>
      </w:r>
      <w:r w:rsidRPr="00B67CE0">
        <w:rPr>
          <w:rStyle w:val="af2"/>
          <w:lang w:val="en-US"/>
        </w:rPr>
        <w:t>Activate AI:</w:t>
      </w:r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zamonaviy</w:t>
      </w:r>
      <w:proofErr w:type="spellEnd"/>
      <w:r w:rsidRPr="00B67CE0">
        <w:rPr>
          <w:lang w:val="en-US"/>
        </w:rPr>
        <w:t xml:space="preserve"> HRIS </w:t>
      </w:r>
      <w:proofErr w:type="spellStart"/>
      <w:r w:rsidRPr="00B67CE0">
        <w:rPr>
          <w:lang w:val="en-US"/>
        </w:rPr>
        <w:t>platformalari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orqali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ma’lumotlar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bazalarini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konsolidatsiya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qilish</w:t>
      </w:r>
      <w:proofErr w:type="spellEnd"/>
      <w:r w:rsidRPr="00B67CE0">
        <w:rPr>
          <w:lang w:val="en-US"/>
        </w:rPr>
        <w:t>.</w:t>
      </w:r>
      <w:r w:rsidRPr="00B67CE0">
        <w:rPr>
          <w:lang w:val="en-US"/>
        </w:rPr>
        <w:br/>
        <w:t xml:space="preserve">• </w:t>
      </w:r>
      <w:r w:rsidRPr="00B67CE0">
        <w:rPr>
          <w:rStyle w:val="af2"/>
          <w:lang w:val="en-US"/>
        </w:rPr>
        <w:t>Redefine Policy:</w:t>
      </w:r>
      <w:r w:rsidRPr="00B67CE0">
        <w:rPr>
          <w:lang w:val="en-US"/>
        </w:rPr>
        <w:t xml:space="preserve"> 42 </w:t>
      </w:r>
      <w:proofErr w:type="spellStart"/>
      <w:r w:rsidRPr="00B67CE0">
        <w:rPr>
          <w:lang w:val="en-US"/>
        </w:rPr>
        <w:t>foiz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kompaniyalar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qoidalarni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qayta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ko‘rib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chiqib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masofaviy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ishni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qonuniylashtirgan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DEI </w:t>
      </w:r>
      <w:proofErr w:type="spellStart"/>
      <w:r w:rsidRPr="00B67CE0">
        <w:rPr>
          <w:lang w:val="en-US"/>
        </w:rPr>
        <w:t>tamoyillarini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moslashtirgan</w:t>
      </w:r>
      <w:proofErr w:type="spellEnd"/>
      <w:r w:rsidRPr="00B67CE0">
        <w:rPr>
          <w:lang w:val="en-US"/>
        </w:rPr>
        <w:t>.</w:t>
      </w:r>
      <w:r w:rsidRPr="00B67CE0">
        <w:rPr>
          <w:lang w:val="en-US"/>
        </w:rPr>
        <w:br/>
        <w:t xml:space="preserve">• </w:t>
      </w:r>
      <w:r w:rsidRPr="00B67CE0">
        <w:rPr>
          <w:rStyle w:val="af2"/>
          <w:lang w:val="en-US"/>
        </w:rPr>
        <w:t>Elevate Experience:</w:t>
      </w:r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faqat</w:t>
      </w:r>
      <w:proofErr w:type="spellEnd"/>
      <w:r w:rsidRPr="00B67CE0">
        <w:rPr>
          <w:lang w:val="en-US"/>
        </w:rPr>
        <w:t xml:space="preserve"> 25 </w:t>
      </w:r>
      <w:proofErr w:type="spellStart"/>
      <w:r w:rsidRPr="00B67CE0">
        <w:rPr>
          <w:lang w:val="en-US"/>
        </w:rPr>
        <w:t>foiz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kompaniyalar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xodimlar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qoniqishini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tizimli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ravishda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kuzatib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boradi</w:t>
      </w:r>
      <w:proofErr w:type="spellEnd"/>
      <w:r w:rsidRPr="00B67CE0">
        <w:rPr>
          <w:lang w:val="en-US"/>
        </w:rPr>
        <w:t>.</w:t>
      </w:r>
    </w:p>
    <w:p w14:paraId="6D24F3EF" w14:textId="77777777" w:rsidR="00B67CE0" w:rsidRDefault="00B67CE0" w:rsidP="00B67CE0">
      <w:pPr>
        <w:pStyle w:val="isselectedend"/>
      </w:pPr>
    </w:p>
    <w:p w14:paraId="389EE950" w14:textId="77777777" w:rsidR="00B67CE0" w:rsidRDefault="00B67CE0" w:rsidP="00B67CE0">
      <w:pPr>
        <w:pStyle w:val="isselectedend"/>
      </w:pPr>
    </w:p>
    <w:p w14:paraId="0686315C" w14:textId="77777777" w:rsidR="00B67CE0" w:rsidRPr="00B67CE0" w:rsidRDefault="00B67CE0" w:rsidP="00B67CE0">
      <w:pPr>
        <w:pStyle w:val="af0"/>
        <w:rPr>
          <w:i/>
          <w:iCs/>
          <w:sz w:val="20"/>
          <w:szCs w:val="20"/>
          <w:lang w:val="en-US"/>
        </w:rPr>
      </w:pPr>
      <w:proofErr w:type="spellStart"/>
      <w:r w:rsidRPr="00B67CE0">
        <w:rPr>
          <w:i/>
          <w:iCs/>
          <w:sz w:val="20"/>
          <w:szCs w:val="20"/>
          <w:lang w:val="en-US"/>
        </w:rPr>
        <w:t>Manba</w:t>
      </w:r>
      <w:proofErr w:type="spellEnd"/>
      <w:r w:rsidRPr="00B67CE0">
        <w:rPr>
          <w:i/>
          <w:iCs/>
          <w:sz w:val="20"/>
          <w:szCs w:val="20"/>
          <w:lang w:val="en-US"/>
        </w:rPr>
        <w:t xml:space="preserve">: KPMG, “2025/2026 Global Mobility Benchmarking Report”, 2026-yil </w:t>
      </w:r>
      <w:proofErr w:type="spellStart"/>
      <w:r w:rsidRPr="00B67CE0">
        <w:rPr>
          <w:i/>
          <w:iCs/>
          <w:sz w:val="20"/>
          <w:szCs w:val="20"/>
          <w:lang w:val="en-US"/>
        </w:rPr>
        <w:t>fevral</w:t>
      </w:r>
      <w:proofErr w:type="spellEnd"/>
      <w:r w:rsidRPr="00B67CE0">
        <w:rPr>
          <w:i/>
          <w:iCs/>
          <w:sz w:val="20"/>
          <w:szCs w:val="20"/>
          <w:lang w:val="en-US"/>
        </w:rPr>
        <w:br/>
      </w:r>
      <w:hyperlink r:id="rId7" w:history="1">
        <w:r w:rsidRPr="00B67CE0">
          <w:rPr>
            <w:rStyle w:val="a5"/>
            <w:i/>
            <w:iCs/>
            <w:sz w:val="20"/>
            <w:szCs w:val="20"/>
            <w:lang w:val="en-US"/>
          </w:rPr>
          <w:t>https://kpmg.com/uz/en/insights/2026/02/global-mobility-benchmarking-report.html</w:t>
        </w:r>
      </w:hyperlink>
    </w:p>
    <w:p w14:paraId="2B10E9E0" w14:textId="53653B0D" w:rsidR="00293A77" w:rsidRDefault="007719E0" w:rsidP="003337A5">
      <w:pPr>
        <w:rPr>
          <w:b/>
          <w:bCs/>
          <w:sz w:val="34"/>
          <w:szCs w:val="34"/>
        </w:rPr>
      </w:pPr>
      <w:r w:rsidRPr="003337A5">
        <w:br w:type="page"/>
      </w:r>
    </w:p>
    <w:p w14:paraId="2A7B9CBD" w14:textId="77777777" w:rsidR="00B67CE0" w:rsidRDefault="00B67CE0" w:rsidP="00B67CE0">
      <w:pPr>
        <w:pStyle w:val="2"/>
      </w:pPr>
      <w:r>
        <w:lastRenderedPageBreak/>
        <w:t>EY: “Doing Business in Uzbekistan 2026”</w:t>
      </w:r>
    </w:p>
    <w:p w14:paraId="6338D414" w14:textId="77777777" w:rsidR="00B67CE0" w:rsidRPr="00B67CE0" w:rsidRDefault="00B67CE0" w:rsidP="00B67CE0">
      <w:pPr>
        <w:pStyle w:val="isselectedend"/>
        <w:rPr>
          <w:lang w:val="en-US"/>
        </w:rPr>
      </w:pPr>
      <w:r w:rsidRPr="00B67CE0">
        <w:rPr>
          <w:lang w:val="en-US"/>
        </w:rPr>
        <w:t xml:space="preserve">2026-yil </w:t>
      </w:r>
      <w:proofErr w:type="spellStart"/>
      <w:r w:rsidRPr="00B67CE0">
        <w:rPr>
          <w:lang w:val="en-US"/>
        </w:rPr>
        <w:t>aprel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oyida</w:t>
      </w:r>
      <w:proofErr w:type="spellEnd"/>
      <w:r w:rsidRPr="00B67CE0">
        <w:rPr>
          <w:lang w:val="en-US"/>
        </w:rPr>
        <w:t xml:space="preserve"> EY </w:t>
      </w:r>
      <w:proofErr w:type="spellStart"/>
      <w:r w:rsidRPr="00B67CE0">
        <w:rPr>
          <w:lang w:val="en-US"/>
        </w:rPr>
        <w:t>xorijiy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investorlar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“Doing Business in Uzbekistan 2026” </w:t>
      </w:r>
      <w:proofErr w:type="spellStart"/>
      <w:r w:rsidRPr="00B67CE0">
        <w:rPr>
          <w:lang w:val="en-US"/>
        </w:rPr>
        <w:t>nomli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yangilangan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qo‘</w:t>
      </w:r>
      <w:proofErr w:type="gramEnd"/>
      <w:r w:rsidRPr="00B67CE0">
        <w:rPr>
          <w:lang w:val="en-US"/>
        </w:rPr>
        <w:t>llanmani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e’lon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qildi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Ushbu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qo‘</w:t>
      </w:r>
      <w:proofErr w:type="gramEnd"/>
      <w:r w:rsidRPr="00B67CE0">
        <w:rPr>
          <w:lang w:val="en-US"/>
        </w:rPr>
        <w:t>llanma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soliqlar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tartibga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solish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masalalari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yicha</w:t>
      </w:r>
      <w:proofErr w:type="spellEnd"/>
      <w:r w:rsidRPr="00B67CE0">
        <w:rPr>
          <w:lang w:val="en-US"/>
        </w:rPr>
        <w:t xml:space="preserve"> 2026-yil 1-yanvar </w:t>
      </w:r>
      <w:proofErr w:type="spellStart"/>
      <w:r w:rsidRPr="00B67CE0">
        <w:rPr>
          <w:lang w:val="en-US"/>
        </w:rPr>
        <w:t>holatiga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dolzarb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lgan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to‘</w:t>
      </w:r>
      <w:proofErr w:type="gramEnd"/>
      <w:r w:rsidRPr="00B67CE0">
        <w:rPr>
          <w:lang w:val="en-US"/>
        </w:rPr>
        <w:t>liq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ma’lumotnomadir</w:t>
      </w:r>
      <w:proofErr w:type="spellEnd"/>
      <w:r w:rsidRPr="00B67CE0">
        <w:rPr>
          <w:lang w:val="en-US"/>
        </w:rPr>
        <w:t>.</w:t>
      </w:r>
    </w:p>
    <w:p w14:paraId="162CDFCE" w14:textId="77777777" w:rsidR="00B67CE0" w:rsidRPr="00B67CE0" w:rsidRDefault="00B67CE0" w:rsidP="00B67CE0">
      <w:pPr>
        <w:pStyle w:val="isselectedend"/>
        <w:rPr>
          <w:lang w:val="en-US"/>
        </w:rPr>
      </w:pPr>
      <w:proofErr w:type="spellStart"/>
      <w:r w:rsidRPr="00B67CE0">
        <w:rPr>
          <w:lang w:val="en-US"/>
        </w:rPr>
        <w:t>Asosiy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ma’lumotlar</w:t>
      </w:r>
      <w:proofErr w:type="spellEnd"/>
      <w:r w:rsidRPr="00B67CE0">
        <w:rPr>
          <w:lang w:val="en-US"/>
        </w:rPr>
        <w:t>:</w:t>
      </w:r>
    </w:p>
    <w:p w14:paraId="5292A1D3" w14:textId="77777777" w:rsidR="00B67CE0" w:rsidRPr="00B67CE0" w:rsidRDefault="00B67CE0" w:rsidP="00B67CE0">
      <w:pPr>
        <w:pStyle w:val="isselectedend"/>
        <w:rPr>
          <w:lang w:val="en-US"/>
        </w:rPr>
      </w:pPr>
      <w:r w:rsidRPr="00B67CE0">
        <w:rPr>
          <w:lang w:val="en-US"/>
        </w:rPr>
        <w:t xml:space="preserve">• </w:t>
      </w:r>
      <w:proofErr w:type="spellStart"/>
      <w:r w:rsidRPr="00B67CE0">
        <w:rPr>
          <w:lang w:val="en-US"/>
        </w:rPr>
        <w:t>Aholi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soni</w:t>
      </w:r>
      <w:proofErr w:type="spellEnd"/>
      <w:r w:rsidRPr="00B67CE0">
        <w:rPr>
          <w:lang w:val="en-US"/>
        </w:rPr>
        <w:t xml:space="preserve">: 38,2 </w:t>
      </w:r>
      <w:proofErr w:type="spellStart"/>
      <w:r w:rsidRPr="00B67CE0">
        <w:rPr>
          <w:lang w:val="en-US"/>
        </w:rPr>
        <w:t>mln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kishi</w:t>
      </w:r>
      <w:proofErr w:type="spellEnd"/>
      <w:r w:rsidRPr="00B67CE0">
        <w:rPr>
          <w:lang w:val="en-US"/>
        </w:rPr>
        <w:br/>
        <w:t xml:space="preserve">• USD/UZS </w:t>
      </w:r>
      <w:proofErr w:type="spellStart"/>
      <w:r w:rsidRPr="00B67CE0">
        <w:rPr>
          <w:lang w:val="en-US"/>
        </w:rPr>
        <w:t>kursi</w:t>
      </w:r>
      <w:proofErr w:type="spellEnd"/>
      <w:r w:rsidRPr="00B67CE0">
        <w:rPr>
          <w:lang w:val="en-US"/>
        </w:rPr>
        <w:t xml:space="preserve">: 12 025,33 — 2026-yil 1-yanvar </w:t>
      </w:r>
      <w:proofErr w:type="spellStart"/>
      <w:r w:rsidRPr="00B67CE0">
        <w:rPr>
          <w:lang w:val="en-US"/>
        </w:rPr>
        <w:t>holatiga</w:t>
      </w:r>
      <w:proofErr w:type="spellEnd"/>
      <w:r w:rsidRPr="00B67CE0">
        <w:rPr>
          <w:lang w:val="en-US"/>
        </w:rPr>
        <w:br/>
        <w:t xml:space="preserve">• </w:t>
      </w:r>
      <w:proofErr w:type="spellStart"/>
      <w:r w:rsidRPr="00B67CE0">
        <w:rPr>
          <w:lang w:val="en-US"/>
        </w:rPr>
        <w:t>Foyda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solig‘i</w:t>
      </w:r>
      <w:proofErr w:type="spellEnd"/>
      <w:r w:rsidRPr="00B67CE0">
        <w:rPr>
          <w:lang w:val="en-US"/>
        </w:rPr>
        <w:t xml:space="preserve">: </w:t>
      </w:r>
      <w:proofErr w:type="spellStart"/>
      <w:r w:rsidRPr="00B67CE0">
        <w:rPr>
          <w:lang w:val="en-US"/>
        </w:rPr>
        <w:t>bazaviy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stavka</w:t>
      </w:r>
      <w:proofErr w:type="spellEnd"/>
      <w:r w:rsidRPr="00B67CE0">
        <w:rPr>
          <w:lang w:val="en-US"/>
        </w:rPr>
        <w:t xml:space="preserve"> — 15%, </w:t>
      </w:r>
      <w:proofErr w:type="spellStart"/>
      <w:r w:rsidRPr="00B67CE0">
        <w:rPr>
          <w:lang w:val="en-US"/>
        </w:rPr>
        <w:t>banklar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telekommunikatsiya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sement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polietilen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sohalari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— 20%, </w:t>
      </w:r>
      <w:proofErr w:type="spellStart"/>
      <w:r w:rsidRPr="00B67CE0">
        <w:rPr>
          <w:lang w:val="en-US"/>
        </w:rPr>
        <w:t>umumiy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ovqatlanish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sohasi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— 7,5%</w:t>
      </w:r>
      <w:r w:rsidRPr="00B67CE0">
        <w:rPr>
          <w:lang w:val="en-US"/>
        </w:rPr>
        <w:br/>
        <w:t xml:space="preserve">• QQS: 12%, </w:t>
      </w:r>
      <w:proofErr w:type="spellStart"/>
      <w:r w:rsidRPr="00B67CE0">
        <w:rPr>
          <w:lang w:val="en-US"/>
        </w:rPr>
        <w:t>eksport</w:t>
      </w:r>
      <w:proofErr w:type="spellEnd"/>
      <w:r w:rsidRPr="00B67CE0">
        <w:rPr>
          <w:lang w:val="en-US"/>
        </w:rPr>
        <w:t xml:space="preserve"> — 0%, </w:t>
      </w:r>
      <w:proofErr w:type="spellStart"/>
      <w:r w:rsidRPr="00B67CE0">
        <w:rPr>
          <w:lang w:val="en-US"/>
        </w:rPr>
        <w:t>qishloq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xo‘jaligi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mahsulotlari</w:t>
      </w:r>
      <w:proofErr w:type="spellEnd"/>
      <w:r w:rsidRPr="00B67CE0">
        <w:rPr>
          <w:lang w:val="en-US"/>
        </w:rPr>
        <w:t xml:space="preserve"> — 0% — 2026-yil 1-yanvardan</w:t>
      </w:r>
      <w:r w:rsidRPr="00B67CE0">
        <w:rPr>
          <w:lang w:val="en-US"/>
        </w:rPr>
        <w:br/>
        <w:t xml:space="preserve">• </w:t>
      </w:r>
      <w:proofErr w:type="spellStart"/>
      <w:r w:rsidRPr="00B67CE0">
        <w:rPr>
          <w:lang w:val="en-US"/>
        </w:rPr>
        <w:t>Jismoniy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shaxslardan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olinadigan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daromad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solig‘i</w:t>
      </w:r>
      <w:proofErr w:type="spellEnd"/>
      <w:r w:rsidRPr="00B67CE0">
        <w:rPr>
          <w:lang w:val="en-US"/>
        </w:rPr>
        <w:t xml:space="preserve">: 12% — yagona </w:t>
      </w:r>
      <w:proofErr w:type="spellStart"/>
      <w:r w:rsidRPr="00B67CE0">
        <w:rPr>
          <w:lang w:val="en-US"/>
        </w:rPr>
        <w:t>stavka</w:t>
      </w:r>
      <w:proofErr w:type="spellEnd"/>
      <w:r w:rsidRPr="00B67CE0">
        <w:rPr>
          <w:lang w:val="en-US"/>
        </w:rPr>
        <w:br/>
        <w:t xml:space="preserve">• </w:t>
      </w:r>
      <w:proofErr w:type="spellStart"/>
      <w:r w:rsidRPr="00B67CE0">
        <w:rPr>
          <w:lang w:val="en-US"/>
        </w:rPr>
        <w:t>Investitsiya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vizasi</w:t>
      </w:r>
      <w:proofErr w:type="spellEnd"/>
      <w:r w:rsidRPr="00B67CE0">
        <w:rPr>
          <w:lang w:val="en-US"/>
        </w:rPr>
        <w:t xml:space="preserve">: 3 </w:t>
      </w:r>
      <w:proofErr w:type="spellStart"/>
      <w:r w:rsidRPr="00B67CE0">
        <w:rPr>
          <w:lang w:val="en-US"/>
        </w:rPr>
        <w:t>mln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AQSh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dollaridan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boshlab</w:t>
      </w:r>
      <w:proofErr w:type="spellEnd"/>
      <w:r w:rsidRPr="00B67CE0">
        <w:rPr>
          <w:lang w:val="en-US"/>
        </w:rPr>
        <w:t xml:space="preserve"> — 10 </w:t>
      </w:r>
      <w:proofErr w:type="spellStart"/>
      <w:r w:rsidRPr="00B67CE0">
        <w:rPr>
          <w:lang w:val="en-US"/>
        </w:rPr>
        <w:t>yilgacha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yashash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guvohnomasi</w:t>
      </w:r>
      <w:proofErr w:type="spellEnd"/>
      <w:r w:rsidRPr="00B67CE0">
        <w:rPr>
          <w:lang w:val="en-US"/>
        </w:rPr>
        <w:br/>
        <w:t xml:space="preserve">• </w:t>
      </w:r>
      <w:proofErr w:type="spellStart"/>
      <w:r w:rsidRPr="00B67CE0">
        <w:rPr>
          <w:lang w:val="en-US"/>
        </w:rPr>
        <w:t>Vizasiz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rejim</w:t>
      </w:r>
      <w:proofErr w:type="spellEnd"/>
      <w:r w:rsidRPr="00B67CE0">
        <w:rPr>
          <w:lang w:val="en-US"/>
        </w:rPr>
        <w:t xml:space="preserve">: 80 dan </w:t>
      </w:r>
      <w:proofErr w:type="spellStart"/>
      <w:r w:rsidRPr="00B67CE0">
        <w:rPr>
          <w:lang w:val="en-US"/>
        </w:rPr>
        <w:t>ortiq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mamlakatlar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jumladan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AQSh</w:t>
      </w:r>
      <w:proofErr w:type="spellEnd"/>
      <w:r w:rsidRPr="00B67CE0">
        <w:rPr>
          <w:lang w:val="en-US"/>
        </w:rPr>
        <w:t xml:space="preserve"> — 2026-yil 1-yanvardan 30 </w:t>
      </w:r>
      <w:proofErr w:type="spellStart"/>
      <w:r w:rsidRPr="00B67CE0">
        <w:rPr>
          <w:lang w:val="en-US"/>
        </w:rPr>
        <w:t>kungacha</w:t>
      </w:r>
      <w:proofErr w:type="spellEnd"/>
      <w:r w:rsidRPr="00B67CE0">
        <w:rPr>
          <w:lang w:val="en-US"/>
        </w:rPr>
        <w:br/>
        <w:t xml:space="preserve">• IT Park: 2028-yilgacha </w:t>
      </w:r>
      <w:proofErr w:type="spellStart"/>
      <w:r w:rsidRPr="00B67CE0">
        <w:rPr>
          <w:lang w:val="en-US"/>
        </w:rPr>
        <w:t>foyda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solig‘i</w:t>
      </w:r>
      <w:proofErr w:type="spellEnd"/>
      <w:r w:rsidRPr="00B67CE0">
        <w:rPr>
          <w:lang w:val="en-US"/>
        </w:rPr>
        <w:t xml:space="preserve">, QQS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ijtimoiy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soliq</w:t>
      </w:r>
      <w:proofErr w:type="spellEnd"/>
      <w:r w:rsidRPr="00B67CE0">
        <w:rPr>
          <w:lang w:val="en-US"/>
        </w:rPr>
        <w:t xml:space="preserve"> — 0%; </w:t>
      </w:r>
      <w:proofErr w:type="spellStart"/>
      <w:r w:rsidRPr="00B67CE0">
        <w:rPr>
          <w:lang w:val="en-US"/>
        </w:rPr>
        <w:t>eksportchilar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— 2040-yilgacha</w:t>
      </w:r>
    </w:p>
    <w:p w14:paraId="5E56FA23" w14:textId="77777777" w:rsidR="00B67CE0" w:rsidRPr="00B67CE0" w:rsidRDefault="00B67CE0" w:rsidP="00B67CE0">
      <w:pPr>
        <w:pStyle w:val="isselectedend"/>
        <w:rPr>
          <w:i/>
          <w:iCs/>
          <w:sz w:val="20"/>
          <w:szCs w:val="20"/>
          <w:lang w:val="en-US"/>
        </w:rPr>
      </w:pPr>
      <w:proofErr w:type="spellStart"/>
      <w:r w:rsidRPr="00B67CE0">
        <w:rPr>
          <w:i/>
          <w:iCs/>
          <w:sz w:val="20"/>
          <w:szCs w:val="20"/>
          <w:lang w:val="en-US"/>
        </w:rPr>
        <w:t>Manba</w:t>
      </w:r>
      <w:proofErr w:type="spellEnd"/>
      <w:r w:rsidRPr="00B67CE0">
        <w:rPr>
          <w:i/>
          <w:iCs/>
          <w:sz w:val="20"/>
          <w:szCs w:val="20"/>
          <w:lang w:val="en-US"/>
        </w:rPr>
        <w:t xml:space="preserve">: EY, “Doing Business in Uzbekistan 2026”, 2026-yil </w:t>
      </w:r>
      <w:proofErr w:type="spellStart"/>
      <w:r w:rsidRPr="00B67CE0">
        <w:rPr>
          <w:i/>
          <w:iCs/>
          <w:sz w:val="20"/>
          <w:szCs w:val="20"/>
          <w:lang w:val="en-US"/>
        </w:rPr>
        <w:t>aprel</w:t>
      </w:r>
      <w:proofErr w:type="spellEnd"/>
      <w:r w:rsidRPr="00B67CE0">
        <w:rPr>
          <w:i/>
          <w:iCs/>
          <w:sz w:val="20"/>
          <w:szCs w:val="20"/>
          <w:lang w:val="en-US"/>
        </w:rPr>
        <w:br/>
      </w:r>
      <w:hyperlink r:id="rId8" w:history="1">
        <w:r w:rsidRPr="00B67CE0">
          <w:rPr>
            <w:rStyle w:val="a5"/>
            <w:i/>
            <w:iCs/>
            <w:sz w:val="20"/>
            <w:szCs w:val="20"/>
            <w:lang w:val="en-US"/>
          </w:rPr>
          <w:t>https://www.ey.com/content/dam/ey-unified-site/ey-com/en-uz/documents/ey-doing-business-uz-2026.pdf</w:t>
        </w:r>
      </w:hyperlink>
    </w:p>
    <w:p w14:paraId="49C6EC6D" w14:textId="77777777" w:rsidR="00B67CE0" w:rsidRDefault="00B67CE0" w:rsidP="00B67CE0">
      <w:r>
        <w:pict w14:anchorId="3804271D">
          <v:rect id="_x0000_i1088" style="width:0;height:1.5pt" o:hralign="center" o:hrstd="t" o:hr="t" fillcolor="#a0a0a0" stroked="f"/>
        </w:pict>
      </w:r>
    </w:p>
    <w:p w14:paraId="6F68F806" w14:textId="77777777" w:rsidR="00B67CE0" w:rsidRDefault="00B67CE0" w:rsidP="00B67CE0">
      <w:pPr>
        <w:pStyle w:val="2"/>
      </w:pPr>
      <w:r>
        <w:t>KPMG: “Banking and Capital Markets — CEO Outlook”</w:t>
      </w:r>
    </w:p>
    <w:p w14:paraId="28FFE3A2" w14:textId="77777777" w:rsidR="00B67CE0" w:rsidRPr="00B67CE0" w:rsidRDefault="00B67CE0" w:rsidP="00B67CE0">
      <w:pPr>
        <w:pStyle w:val="isselectedend"/>
        <w:rPr>
          <w:lang w:val="en-US"/>
        </w:rPr>
      </w:pPr>
      <w:r w:rsidRPr="00B67CE0">
        <w:rPr>
          <w:lang w:val="en-US"/>
        </w:rPr>
        <w:t xml:space="preserve">KPMG Uzbekistan </w:t>
      </w:r>
      <w:proofErr w:type="spellStart"/>
      <w:r w:rsidRPr="00B67CE0">
        <w:rPr>
          <w:lang w:val="en-US"/>
        </w:rPr>
        <w:t>saytida</w:t>
      </w:r>
      <w:proofErr w:type="spellEnd"/>
      <w:r w:rsidRPr="00B67CE0">
        <w:rPr>
          <w:lang w:val="en-US"/>
        </w:rPr>
        <w:t xml:space="preserve"> 2026-yil mart </w:t>
      </w:r>
      <w:proofErr w:type="spellStart"/>
      <w:r w:rsidRPr="00B67CE0">
        <w:rPr>
          <w:lang w:val="en-US"/>
        </w:rPr>
        <w:t>oyida</w:t>
      </w:r>
      <w:proofErr w:type="spellEnd"/>
      <w:r w:rsidRPr="00B67CE0">
        <w:rPr>
          <w:lang w:val="en-US"/>
        </w:rPr>
        <w:t xml:space="preserve"> 1 350 </w:t>
      </w:r>
      <w:proofErr w:type="spellStart"/>
      <w:r w:rsidRPr="00B67CE0">
        <w:rPr>
          <w:lang w:val="en-US"/>
        </w:rPr>
        <w:t>nafar</w:t>
      </w:r>
      <w:proofErr w:type="spellEnd"/>
      <w:r w:rsidRPr="00B67CE0">
        <w:rPr>
          <w:lang w:val="en-US"/>
        </w:rPr>
        <w:t xml:space="preserve"> CEO, </w:t>
      </w:r>
      <w:proofErr w:type="spellStart"/>
      <w:r w:rsidRPr="00B67CE0">
        <w:rPr>
          <w:lang w:val="en-US"/>
        </w:rPr>
        <w:t>jumladan</w:t>
      </w:r>
      <w:proofErr w:type="spellEnd"/>
      <w:r w:rsidRPr="00B67CE0">
        <w:rPr>
          <w:lang w:val="en-US"/>
        </w:rPr>
        <w:t xml:space="preserve"> bank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kapital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bozorlari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sohasidagi</w:t>
      </w:r>
      <w:proofErr w:type="spellEnd"/>
      <w:r w:rsidRPr="00B67CE0">
        <w:rPr>
          <w:lang w:val="en-US"/>
        </w:rPr>
        <w:t xml:space="preserve"> 110 </w:t>
      </w:r>
      <w:proofErr w:type="spellStart"/>
      <w:r w:rsidRPr="00B67CE0">
        <w:rPr>
          <w:lang w:val="en-US"/>
        </w:rPr>
        <w:t>nafar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rahbar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ishtirok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etgan</w:t>
      </w:r>
      <w:proofErr w:type="spellEnd"/>
      <w:r w:rsidRPr="00B67CE0">
        <w:rPr>
          <w:lang w:val="en-US"/>
        </w:rPr>
        <w:t xml:space="preserve"> global </w:t>
      </w:r>
      <w:proofErr w:type="spellStart"/>
      <w:proofErr w:type="gramStart"/>
      <w:r w:rsidRPr="00B67CE0">
        <w:rPr>
          <w:lang w:val="en-US"/>
        </w:rPr>
        <w:t>so‘</w:t>
      </w:r>
      <w:proofErr w:type="gramEnd"/>
      <w:r w:rsidRPr="00B67CE0">
        <w:rPr>
          <w:lang w:val="en-US"/>
        </w:rPr>
        <w:t>rov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natijalari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mahalliylashtirilgan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holda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e’lon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qilindi</w:t>
      </w:r>
      <w:proofErr w:type="spellEnd"/>
      <w:r w:rsidRPr="00B67CE0">
        <w:rPr>
          <w:lang w:val="en-US"/>
        </w:rPr>
        <w:t>.</w:t>
      </w:r>
    </w:p>
    <w:p w14:paraId="7BCC9597" w14:textId="77777777" w:rsidR="00B67CE0" w:rsidRPr="00B67CE0" w:rsidRDefault="00B67CE0" w:rsidP="00B67CE0">
      <w:pPr>
        <w:pStyle w:val="isselectedend"/>
        <w:rPr>
          <w:lang w:val="en-US"/>
        </w:rPr>
      </w:pPr>
      <w:proofErr w:type="spellStart"/>
      <w:r w:rsidRPr="00B67CE0">
        <w:rPr>
          <w:lang w:val="en-US"/>
        </w:rPr>
        <w:t>Asosiy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natijalar</w:t>
      </w:r>
      <w:proofErr w:type="spellEnd"/>
      <w:r w:rsidRPr="00B67CE0">
        <w:rPr>
          <w:lang w:val="en-US"/>
        </w:rPr>
        <w:t>:</w:t>
      </w:r>
    </w:p>
    <w:p w14:paraId="7293B697" w14:textId="77777777" w:rsidR="00B67CE0" w:rsidRPr="00B67CE0" w:rsidRDefault="00B67CE0" w:rsidP="00B67CE0">
      <w:pPr>
        <w:pStyle w:val="isselectedend"/>
        <w:rPr>
          <w:lang w:val="en-US"/>
        </w:rPr>
      </w:pPr>
      <w:r w:rsidRPr="00B67CE0">
        <w:rPr>
          <w:lang w:val="en-US"/>
        </w:rPr>
        <w:t xml:space="preserve">• Bank </w:t>
      </w:r>
      <w:proofErr w:type="spellStart"/>
      <w:r w:rsidRPr="00B67CE0">
        <w:rPr>
          <w:lang w:val="en-US"/>
        </w:rPr>
        <w:t>sektoridagi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CEOlarning</w:t>
      </w:r>
      <w:proofErr w:type="spellEnd"/>
      <w:r w:rsidRPr="00B67CE0">
        <w:rPr>
          <w:lang w:val="en-US"/>
        </w:rPr>
        <w:t xml:space="preserve"> 83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sish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istiqbollariga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ishonch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bildirmoqda</w:t>
      </w:r>
      <w:proofErr w:type="spellEnd"/>
      <w:r w:rsidRPr="00B67CE0">
        <w:rPr>
          <w:lang w:val="en-US"/>
        </w:rPr>
        <w:br/>
        <w:t xml:space="preserve">• 65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sun’iy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intellektni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investitsiyalar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ustuvor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yo‘</w:t>
      </w:r>
      <w:proofErr w:type="gramEnd"/>
      <w:r w:rsidRPr="00B67CE0">
        <w:rPr>
          <w:lang w:val="en-US"/>
        </w:rPr>
        <w:t>nalish</w:t>
      </w:r>
      <w:proofErr w:type="spellEnd"/>
      <w:r w:rsidRPr="00B67CE0">
        <w:rPr>
          <w:lang w:val="en-US"/>
        </w:rPr>
        <w:t xml:space="preserve"> deb </w:t>
      </w:r>
      <w:proofErr w:type="spellStart"/>
      <w:r w:rsidRPr="00B67CE0">
        <w:rPr>
          <w:lang w:val="en-US"/>
        </w:rPr>
        <w:t>hisoblaydi</w:t>
      </w:r>
      <w:proofErr w:type="spellEnd"/>
      <w:r w:rsidRPr="00B67CE0">
        <w:rPr>
          <w:lang w:val="en-US"/>
        </w:rPr>
        <w:br/>
        <w:t xml:space="preserve">• 69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sun’iy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intellektdan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kutilayotgan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investitsiya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qaytimi</w:t>
      </w:r>
      <w:proofErr w:type="spellEnd"/>
      <w:r w:rsidRPr="00B67CE0">
        <w:rPr>
          <w:lang w:val="en-US"/>
        </w:rPr>
        <w:t xml:space="preserve"> 1–3 </w:t>
      </w:r>
      <w:proofErr w:type="spellStart"/>
      <w:r w:rsidRPr="00B67CE0">
        <w:rPr>
          <w:lang w:val="en-US"/>
        </w:rPr>
        <w:t>yil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ichida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lishini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kutmoqda</w:t>
      </w:r>
      <w:proofErr w:type="spellEnd"/>
      <w:r w:rsidRPr="00B67CE0">
        <w:rPr>
          <w:lang w:val="en-US"/>
        </w:rPr>
        <w:br/>
        <w:t xml:space="preserve">• 86 </w:t>
      </w:r>
      <w:proofErr w:type="spellStart"/>
      <w:r w:rsidRPr="00B67CE0">
        <w:rPr>
          <w:lang w:val="en-US"/>
        </w:rPr>
        <w:t>foizi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kiberxavfni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sishga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ta’sir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qiluvchi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asosiy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omil</w:t>
      </w:r>
      <w:proofErr w:type="spellEnd"/>
      <w:r w:rsidRPr="00B67CE0">
        <w:rPr>
          <w:lang w:val="en-US"/>
        </w:rPr>
        <w:t xml:space="preserve"> deb </w:t>
      </w:r>
      <w:proofErr w:type="spellStart"/>
      <w:r w:rsidRPr="00B67CE0">
        <w:rPr>
          <w:lang w:val="en-US"/>
        </w:rPr>
        <w:t>ataydi</w:t>
      </w:r>
      <w:proofErr w:type="spellEnd"/>
    </w:p>
    <w:p w14:paraId="27D0BF0F" w14:textId="77777777" w:rsidR="00B67CE0" w:rsidRPr="00B67CE0" w:rsidRDefault="00B67CE0" w:rsidP="00B67CE0">
      <w:pPr>
        <w:pStyle w:val="isselectedend"/>
        <w:rPr>
          <w:i/>
          <w:iCs/>
          <w:sz w:val="20"/>
          <w:szCs w:val="20"/>
          <w:lang w:val="en-US"/>
        </w:rPr>
      </w:pPr>
      <w:proofErr w:type="spellStart"/>
      <w:r w:rsidRPr="00B67CE0">
        <w:rPr>
          <w:i/>
          <w:iCs/>
          <w:sz w:val="20"/>
          <w:szCs w:val="20"/>
          <w:lang w:val="en-US"/>
        </w:rPr>
        <w:t>Manba</w:t>
      </w:r>
      <w:proofErr w:type="spellEnd"/>
      <w:r w:rsidRPr="00B67CE0">
        <w:rPr>
          <w:i/>
          <w:iCs/>
          <w:sz w:val="20"/>
          <w:szCs w:val="20"/>
          <w:lang w:val="en-US"/>
        </w:rPr>
        <w:t>: KPMG, “Banking and Capital Markets: CEO Outlook”, 2026-yil mart</w:t>
      </w:r>
      <w:r w:rsidRPr="00B67CE0">
        <w:rPr>
          <w:i/>
          <w:iCs/>
          <w:sz w:val="20"/>
          <w:szCs w:val="20"/>
          <w:lang w:val="en-US"/>
        </w:rPr>
        <w:br/>
      </w:r>
      <w:hyperlink r:id="rId9" w:history="1">
        <w:r w:rsidRPr="00B67CE0">
          <w:rPr>
            <w:rStyle w:val="a5"/>
            <w:i/>
            <w:iCs/>
            <w:sz w:val="20"/>
            <w:szCs w:val="20"/>
            <w:lang w:val="en-US"/>
          </w:rPr>
          <w:t>https://kpmg.com/uz/en/insights/2026/03/banking-and-capital-markets.html</w:t>
        </w:r>
      </w:hyperlink>
    </w:p>
    <w:p w14:paraId="0E3E7433" w14:textId="77777777" w:rsidR="00B67CE0" w:rsidRDefault="00B67CE0" w:rsidP="00B67CE0">
      <w:r>
        <w:pict w14:anchorId="125D47CC">
          <v:rect id="_x0000_i1089" style="width:0;height:1.5pt" o:hralign="center" o:hrstd="t" o:hr="t" fillcolor="#a0a0a0" stroked="f"/>
        </w:pict>
      </w:r>
    </w:p>
    <w:p w14:paraId="0CFC8286" w14:textId="77777777" w:rsidR="00B67CE0" w:rsidRDefault="00B67CE0" w:rsidP="00B67CE0">
      <w:pPr>
        <w:pStyle w:val="2"/>
      </w:pPr>
      <w:proofErr w:type="spellStart"/>
      <w:r>
        <w:t>Soliq</w:t>
      </w:r>
      <w:proofErr w:type="spellEnd"/>
      <w:r>
        <w:t xml:space="preserve"> </w:t>
      </w:r>
      <w:proofErr w:type="spellStart"/>
      <w:r>
        <w:t>islohoti</w:t>
      </w:r>
      <w:proofErr w:type="spellEnd"/>
      <w:r>
        <w:t xml:space="preserve">: QQS </w:t>
      </w:r>
      <w:proofErr w:type="spellStart"/>
      <w:proofErr w:type="gramStart"/>
      <w:r>
        <w:t>bo‘</w:t>
      </w:r>
      <w:proofErr w:type="gramEnd"/>
      <w:r>
        <w:t>yicha</w:t>
      </w:r>
      <w:proofErr w:type="spellEnd"/>
      <w:r>
        <w:t xml:space="preserve"> </w:t>
      </w:r>
      <w:proofErr w:type="spellStart"/>
      <w:r>
        <w:t>chegara</w:t>
      </w:r>
      <w:proofErr w:type="spellEnd"/>
      <w:r>
        <w:t xml:space="preserve"> 5 </w:t>
      </w:r>
      <w:proofErr w:type="spellStart"/>
      <w:r>
        <w:t>baravarga</w:t>
      </w:r>
      <w:proofErr w:type="spellEnd"/>
      <w:r>
        <w:t xml:space="preserve"> </w:t>
      </w:r>
      <w:proofErr w:type="spellStart"/>
      <w:r>
        <w:t>oshirildi</w:t>
      </w:r>
      <w:proofErr w:type="spellEnd"/>
    </w:p>
    <w:p w14:paraId="4E2818C9" w14:textId="77777777" w:rsidR="00B67CE0" w:rsidRPr="00B67CE0" w:rsidRDefault="00B67CE0" w:rsidP="00B67CE0">
      <w:pPr>
        <w:pStyle w:val="isselectedend"/>
        <w:rPr>
          <w:lang w:val="en-US"/>
        </w:rPr>
      </w:pPr>
      <w:r w:rsidRPr="00B67CE0">
        <w:rPr>
          <w:lang w:val="en-US"/>
        </w:rPr>
        <w:t xml:space="preserve">2026-yil 1-iyundan </w:t>
      </w:r>
      <w:proofErr w:type="spellStart"/>
      <w:r w:rsidRPr="00B67CE0">
        <w:rPr>
          <w:lang w:val="en-US"/>
        </w:rPr>
        <w:t>boshlab</w:t>
      </w:r>
      <w:proofErr w:type="spellEnd"/>
      <w:r w:rsidRPr="00B67CE0">
        <w:rPr>
          <w:lang w:val="en-US"/>
        </w:rPr>
        <w:t xml:space="preserve"> QQS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foyda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solig‘</w:t>
      </w:r>
      <w:proofErr w:type="gramEnd"/>
      <w:r w:rsidRPr="00B67CE0">
        <w:rPr>
          <w:lang w:val="en-US"/>
        </w:rPr>
        <w:t>iga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majburiy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tish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chegarasi</w:t>
      </w:r>
      <w:proofErr w:type="spellEnd"/>
      <w:r w:rsidRPr="00B67CE0">
        <w:rPr>
          <w:lang w:val="en-US"/>
        </w:rPr>
        <w:t xml:space="preserve"> 1 </w:t>
      </w:r>
      <w:proofErr w:type="spellStart"/>
      <w:r w:rsidRPr="00B67CE0">
        <w:rPr>
          <w:lang w:val="en-US"/>
        </w:rPr>
        <w:t>mlrd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so‘</w:t>
      </w:r>
      <w:proofErr w:type="gramEnd"/>
      <w:r w:rsidRPr="00B67CE0">
        <w:rPr>
          <w:lang w:val="en-US"/>
        </w:rPr>
        <w:t>mdan</w:t>
      </w:r>
      <w:proofErr w:type="spellEnd"/>
      <w:r w:rsidRPr="00B67CE0">
        <w:rPr>
          <w:lang w:val="en-US"/>
        </w:rPr>
        <w:t xml:space="preserve"> 5 </w:t>
      </w:r>
      <w:proofErr w:type="spellStart"/>
      <w:r w:rsidRPr="00B67CE0">
        <w:rPr>
          <w:lang w:val="en-US"/>
        </w:rPr>
        <w:t>mlrd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so‘</w:t>
      </w:r>
      <w:proofErr w:type="gramEnd"/>
      <w:r w:rsidRPr="00B67CE0">
        <w:rPr>
          <w:lang w:val="en-US"/>
        </w:rPr>
        <w:t>mgacha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oshirildi</w:t>
      </w:r>
      <w:proofErr w:type="spellEnd"/>
      <w:r w:rsidRPr="00B67CE0">
        <w:rPr>
          <w:lang w:val="en-US"/>
        </w:rPr>
        <w:t xml:space="preserve">. Bu 2019-yildan </w:t>
      </w:r>
      <w:proofErr w:type="spellStart"/>
      <w:r w:rsidRPr="00B67CE0">
        <w:rPr>
          <w:lang w:val="en-US"/>
        </w:rPr>
        <w:t>buyon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kichik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biznes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soliq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rejimidagi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yirik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zgarishdir</w:t>
      </w:r>
      <w:proofErr w:type="spellEnd"/>
      <w:r w:rsidRPr="00B67CE0">
        <w:rPr>
          <w:lang w:val="en-US"/>
        </w:rPr>
        <w:t>.</w:t>
      </w:r>
    </w:p>
    <w:p w14:paraId="734BA325" w14:textId="77777777" w:rsidR="00B67CE0" w:rsidRPr="00B67CE0" w:rsidRDefault="00B67CE0" w:rsidP="00B67CE0">
      <w:pPr>
        <w:pStyle w:val="isselectedend"/>
        <w:rPr>
          <w:lang w:val="en-US"/>
        </w:rPr>
      </w:pPr>
      <w:r w:rsidRPr="00B67CE0">
        <w:rPr>
          <w:lang w:val="en-US"/>
        </w:rPr>
        <w:lastRenderedPageBreak/>
        <w:t xml:space="preserve">Shu </w:t>
      </w:r>
      <w:proofErr w:type="spellStart"/>
      <w:r w:rsidRPr="00B67CE0">
        <w:rPr>
          <w:lang w:val="en-US"/>
        </w:rPr>
        <w:t>bilan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birga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umumiy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ovqatlanish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chakana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savdo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xizmatlar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sohasi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standart</w:t>
      </w:r>
      <w:proofErr w:type="spellEnd"/>
      <w:r w:rsidRPr="00B67CE0">
        <w:rPr>
          <w:lang w:val="en-US"/>
        </w:rPr>
        <w:t xml:space="preserve"> 12 </w:t>
      </w:r>
      <w:proofErr w:type="spellStart"/>
      <w:r w:rsidRPr="00B67CE0">
        <w:rPr>
          <w:lang w:val="en-US"/>
        </w:rPr>
        <w:t>foizlik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stavkaga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muqobil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sifatida</w:t>
      </w:r>
      <w:proofErr w:type="spellEnd"/>
      <w:r w:rsidRPr="00B67CE0">
        <w:rPr>
          <w:lang w:val="en-US"/>
        </w:rPr>
        <w:t xml:space="preserve"> 6 </w:t>
      </w:r>
      <w:proofErr w:type="spellStart"/>
      <w:r w:rsidRPr="00B67CE0">
        <w:rPr>
          <w:lang w:val="en-US"/>
        </w:rPr>
        <w:t>foizlik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ixtiyoriy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soddalashtirilgan</w:t>
      </w:r>
      <w:proofErr w:type="spellEnd"/>
      <w:r w:rsidRPr="00B67CE0">
        <w:rPr>
          <w:lang w:val="en-US"/>
        </w:rPr>
        <w:t xml:space="preserve"> QQS </w:t>
      </w:r>
      <w:proofErr w:type="spellStart"/>
      <w:r w:rsidRPr="00B67CE0">
        <w:rPr>
          <w:lang w:val="en-US"/>
        </w:rPr>
        <w:t>joriy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etildi</w:t>
      </w:r>
      <w:proofErr w:type="spellEnd"/>
      <w:r w:rsidRPr="00B67CE0">
        <w:rPr>
          <w:lang w:val="en-US"/>
        </w:rPr>
        <w:t xml:space="preserve">. 6 </w:t>
      </w:r>
      <w:proofErr w:type="spellStart"/>
      <w:r w:rsidRPr="00B67CE0">
        <w:rPr>
          <w:lang w:val="en-US"/>
        </w:rPr>
        <w:t>foizlik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stavka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tanlanganda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tadbirkor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foyda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solig‘</w:t>
      </w:r>
      <w:proofErr w:type="gramEnd"/>
      <w:r w:rsidRPr="00B67CE0">
        <w:rPr>
          <w:lang w:val="en-US"/>
        </w:rPr>
        <w:t>idan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ozod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etiladi</w:t>
      </w:r>
      <w:proofErr w:type="spellEnd"/>
      <w:r w:rsidRPr="00B67CE0">
        <w:rPr>
          <w:lang w:val="en-US"/>
        </w:rPr>
        <w:t>.</w:t>
      </w:r>
    </w:p>
    <w:p w14:paraId="37BEB143" w14:textId="77777777" w:rsidR="00B67CE0" w:rsidRPr="00B67CE0" w:rsidRDefault="00B67CE0" w:rsidP="00B67CE0">
      <w:pPr>
        <w:pStyle w:val="isselectedend"/>
        <w:rPr>
          <w:lang w:val="en-US"/>
        </w:rPr>
      </w:pPr>
      <w:proofErr w:type="spellStart"/>
      <w:r w:rsidRPr="00B67CE0">
        <w:rPr>
          <w:lang w:val="en-US"/>
        </w:rPr>
        <w:t>Biznes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uchun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bu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shuni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anglatadiki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yillik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aylanmasi</w:t>
      </w:r>
      <w:proofErr w:type="spellEnd"/>
      <w:r w:rsidRPr="00B67CE0">
        <w:rPr>
          <w:lang w:val="en-US"/>
        </w:rPr>
        <w:t xml:space="preserve"> 5 </w:t>
      </w:r>
      <w:proofErr w:type="spellStart"/>
      <w:r w:rsidRPr="00B67CE0">
        <w:rPr>
          <w:lang w:val="en-US"/>
        </w:rPr>
        <w:t>mlrd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so‘</w:t>
      </w:r>
      <w:proofErr w:type="gramEnd"/>
      <w:r w:rsidRPr="00B67CE0">
        <w:rPr>
          <w:lang w:val="en-US"/>
        </w:rPr>
        <w:t>mgacha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minglab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kichik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korxonalar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endi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QQSga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majburiy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o‘</w:t>
      </w:r>
      <w:proofErr w:type="gramEnd"/>
      <w:r w:rsidRPr="00B67CE0">
        <w:rPr>
          <w:lang w:val="en-US"/>
        </w:rPr>
        <w:t>tishi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shart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emas</w:t>
      </w:r>
      <w:proofErr w:type="spellEnd"/>
      <w:r w:rsidRPr="00B67CE0">
        <w:rPr>
          <w:lang w:val="en-US"/>
        </w:rPr>
        <w:t xml:space="preserve">. Bu </w:t>
      </w:r>
      <w:proofErr w:type="spellStart"/>
      <w:r w:rsidRPr="00B67CE0">
        <w:rPr>
          <w:lang w:val="en-US"/>
        </w:rPr>
        <w:t>biznesni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sun’iy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ravishda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lishga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lgan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rag‘</w:t>
      </w:r>
      <w:proofErr w:type="gramEnd"/>
      <w:r w:rsidRPr="00B67CE0">
        <w:rPr>
          <w:lang w:val="en-US"/>
        </w:rPr>
        <w:t>batni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kamaytiradi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va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yashirin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iqtisodiyot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ulushini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qisqartirishga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xizmat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qiladi</w:t>
      </w:r>
      <w:proofErr w:type="spellEnd"/>
      <w:r w:rsidRPr="00B67CE0">
        <w:rPr>
          <w:lang w:val="en-US"/>
        </w:rPr>
        <w:t>.</w:t>
      </w:r>
    </w:p>
    <w:p w14:paraId="29A323B2" w14:textId="77777777" w:rsidR="00B67CE0" w:rsidRPr="00B67CE0" w:rsidRDefault="00B67CE0" w:rsidP="00B67CE0">
      <w:pPr>
        <w:pStyle w:val="isselectedend"/>
        <w:rPr>
          <w:i/>
          <w:iCs/>
          <w:sz w:val="20"/>
          <w:szCs w:val="20"/>
          <w:lang w:val="en-US"/>
        </w:rPr>
      </w:pPr>
      <w:proofErr w:type="spellStart"/>
      <w:r w:rsidRPr="00B67CE0">
        <w:rPr>
          <w:i/>
          <w:iCs/>
          <w:sz w:val="20"/>
          <w:szCs w:val="20"/>
          <w:lang w:val="en-US"/>
        </w:rPr>
        <w:t>Manbalar</w:t>
      </w:r>
      <w:proofErr w:type="spellEnd"/>
      <w:r w:rsidRPr="00B67CE0">
        <w:rPr>
          <w:i/>
          <w:iCs/>
          <w:sz w:val="20"/>
          <w:szCs w:val="20"/>
          <w:lang w:val="en-US"/>
        </w:rPr>
        <w:t xml:space="preserve">: Gazeta.uz, 2026-yil 29-may; PwC Tax Summaries, Republic of Uzbekistan, 2026-yilda </w:t>
      </w:r>
      <w:proofErr w:type="spellStart"/>
      <w:r w:rsidRPr="00B67CE0">
        <w:rPr>
          <w:i/>
          <w:iCs/>
          <w:sz w:val="20"/>
          <w:szCs w:val="20"/>
          <w:lang w:val="en-US"/>
        </w:rPr>
        <w:t>yangilangan</w:t>
      </w:r>
      <w:proofErr w:type="spellEnd"/>
    </w:p>
    <w:p w14:paraId="729D1AA9" w14:textId="77777777" w:rsidR="00B67CE0" w:rsidRDefault="00B67CE0" w:rsidP="00B67CE0">
      <w:r>
        <w:pict w14:anchorId="1F9822CC">
          <v:rect id="_x0000_i1090" style="width:0;height:1.5pt" o:hralign="center" o:hrstd="t" o:hr="t" fillcolor="#a0a0a0" stroked="f"/>
        </w:pict>
      </w:r>
    </w:p>
    <w:p w14:paraId="1014ABAD" w14:textId="77777777" w:rsidR="00B67CE0" w:rsidRDefault="00B67CE0" w:rsidP="00B67CE0">
      <w:pPr>
        <w:pStyle w:val="2"/>
      </w:pPr>
      <w:proofErr w:type="spellStart"/>
      <w:r>
        <w:t>Ogohlantirish</w:t>
      </w:r>
      <w:proofErr w:type="spellEnd"/>
    </w:p>
    <w:p w14:paraId="040ABD14" w14:textId="77777777" w:rsidR="00B67CE0" w:rsidRPr="00B67CE0" w:rsidRDefault="00B67CE0" w:rsidP="00B67CE0">
      <w:pPr>
        <w:pStyle w:val="af0"/>
        <w:rPr>
          <w:lang w:val="en-US"/>
        </w:rPr>
      </w:pPr>
      <w:proofErr w:type="spellStart"/>
      <w:r w:rsidRPr="00B67CE0">
        <w:rPr>
          <w:lang w:val="en-US"/>
        </w:rPr>
        <w:t>Mazkur</w:t>
      </w:r>
      <w:proofErr w:type="spellEnd"/>
      <w:r w:rsidRPr="00B67CE0">
        <w:rPr>
          <w:lang w:val="en-US"/>
        </w:rPr>
        <w:t xml:space="preserve"> material </w:t>
      </w:r>
      <w:proofErr w:type="spellStart"/>
      <w:r w:rsidRPr="00B67CE0">
        <w:rPr>
          <w:lang w:val="en-US"/>
        </w:rPr>
        <w:t>faqat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axborot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maqsadida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tayyorlangan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bo‘</w:t>
      </w:r>
      <w:proofErr w:type="gramEnd"/>
      <w:r w:rsidRPr="00B67CE0">
        <w:rPr>
          <w:lang w:val="en-US"/>
        </w:rPr>
        <w:t>lib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investitsiyaviy</w:t>
      </w:r>
      <w:proofErr w:type="spellEnd"/>
      <w:r w:rsidRPr="00B67CE0">
        <w:rPr>
          <w:lang w:val="en-US"/>
        </w:rPr>
        <w:t xml:space="preserve">, </w:t>
      </w:r>
      <w:proofErr w:type="spellStart"/>
      <w:r w:rsidRPr="00B67CE0">
        <w:rPr>
          <w:lang w:val="en-US"/>
        </w:rPr>
        <w:t>soliq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yoki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yuridik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tavsiya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hisoblanmaydi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Barcha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ma’lumotlar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faqat</w:t>
      </w:r>
      <w:proofErr w:type="spellEnd"/>
      <w:r w:rsidRPr="00B67CE0">
        <w:rPr>
          <w:lang w:val="en-US"/>
        </w:rPr>
        <w:t xml:space="preserve"> </w:t>
      </w:r>
      <w:proofErr w:type="spellStart"/>
      <w:proofErr w:type="gramStart"/>
      <w:r w:rsidRPr="00B67CE0">
        <w:rPr>
          <w:lang w:val="en-US"/>
        </w:rPr>
        <w:t>ko‘</w:t>
      </w:r>
      <w:proofErr w:type="gramEnd"/>
      <w:r w:rsidRPr="00B67CE0">
        <w:rPr>
          <w:lang w:val="en-US"/>
        </w:rPr>
        <w:t>rsatilgan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tashkilotlarning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rasmiy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nashrlari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asosida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keltirilgan</w:t>
      </w:r>
      <w:proofErr w:type="spellEnd"/>
      <w:r w:rsidRPr="00B67CE0">
        <w:rPr>
          <w:lang w:val="en-US"/>
        </w:rPr>
        <w:t xml:space="preserve">. </w:t>
      </w:r>
      <w:proofErr w:type="spellStart"/>
      <w:r w:rsidRPr="00B67CE0">
        <w:rPr>
          <w:lang w:val="en-US"/>
        </w:rPr>
        <w:t>Qaror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qabul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qilishdan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oldin</w:t>
      </w:r>
      <w:proofErr w:type="spellEnd"/>
      <w:r w:rsidRPr="00B67CE0">
        <w:rPr>
          <w:lang w:val="en-US"/>
        </w:rPr>
        <w:t xml:space="preserve"> professional </w:t>
      </w:r>
      <w:proofErr w:type="spellStart"/>
      <w:r w:rsidRPr="00B67CE0">
        <w:rPr>
          <w:lang w:val="en-US"/>
        </w:rPr>
        <w:t>maslahatchilar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bilan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maslahatlashish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tavsiya</w:t>
      </w:r>
      <w:proofErr w:type="spellEnd"/>
      <w:r w:rsidRPr="00B67CE0">
        <w:rPr>
          <w:lang w:val="en-US"/>
        </w:rPr>
        <w:t xml:space="preserve"> </w:t>
      </w:r>
      <w:proofErr w:type="spellStart"/>
      <w:r w:rsidRPr="00B67CE0">
        <w:rPr>
          <w:lang w:val="en-US"/>
        </w:rPr>
        <w:t>etiladi</w:t>
      </w:r>
      <w:proofErr w:type="spellEnd"/>
      <w:r w:rsidRPr="00B67CE0">
        <w:rPr>
          <w:lang w:val="en-US"/>
        </w:rPr>
        <w:t>.</w:t>
      </w:r>
    </w:p>
    <w:p w14:paraId="125FC7E8" w14:textId="3C94EAE5" w:rsidR="00293A77" w:rsidRPr="00B67CE0" w:rsidRDefault="00293A77" w:rsidP="00B67CE0">
      <w:pPr>
        <w:pStyle w:val="1"/>
        <w:spacing w:before="300" w:after="160"/>
      </w:pPr>
    </w:p>
    <w:sectPr w:rsidR="00293A77" w:rsidRPr="00B67CE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7943" w14:textId="77777777" w:rsidR="007719E0" w:rsidRDefault="007719E0">
      <w:r>
        <w:separator/>
      </w:r>
    </w:p>
  </w:endnote>
  <w:endnote w:type="continuationSeparator" w:id="0">
    <w:p w14:paraId="0B5523E3" w14:textId="77777777" w:rsidR="007719E0" w:rsidRDefault="0077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F050" w14:textId="77777777" w:rsidR="00293A77" w:rsidRDefault="007719E0">
    <w:pPr>
      <w:pBdr>
        <w:top w:val="single" w:sz="1" w:space="4" w:color="CCCCCC"/>
      </w:pBdr>
      <w:jc w:val="center"/>
    </w:pPr>
    <w:proofErr w:type="spellStart"/>
    <w:r>
      <w:rPr>
        <w:color w:val="999999"/>
        <w:sz w:val="16"/>
        <w:szCs w:val="16"/>
      </w:rPr>
      <w:t>Стр</w:t>
    </w:r>
    <w:proofErr w:type="spellEnd"/>
    <w:r>
      <w:rPr>
        <w:color w:val="999999"/>
        <w:sz w:val="16"/>
        <w:szCs w:val="16"/>
      </w:rPr>
      <w:t xml:space="preserve">.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337A5">
      <w:rPr>
        <w:noProof/>
        <w:color w:val="999999"/>
        <w:sz w:val="16"/>
        <w:szCs w:val="16"/>
      </w:rPr>
      <w:t>2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63EC" w14:textId="77777777" w:rsidR="007719E0" w:rsidRDefault="007719E0">
      <w:r>
        <w:separator/>
      </w:r>
    </w:p>
  </w:footnote>
  <w:footnote w:type="continuationSeparator" w:id="0">
    <w:p w14:paraId="30E6BCB6" w14:textId="77777777" w:rsidR="007719E0" w:rsidRDefault="0077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1248" w14:textId="77777777" w:rsidR="00293A77" w:rsidRPr="003337A5" w:rsidRDefault="007719E0">
    <w:pPr>
      <w:pBdr>
        <w:bottom w:val="single" w:sz="2" w:space="4" w:color="1B4F72"/>
      </w:pBdr>
      <w:jc w:val="right"/>
      <w:rPr>
        <w:lang w:val="ru-RU"/>
      </w:rPr>
    </w:pPr>
    <w:r w:rsidRPr="003337A5">
      <w:rPr>
        <w:i/>
        <w:iCs/>
        <w:color w:val="999999"/>
        <w:sz w:val="16"/>
        <w:szCs w:val="16"/>
        <w:lang w:val="ru-RU"/>
      </w:rPr>
      <w:t xml:space="preserve">Рынок Узбекистана — Аналитика консалтинговых компаний </w:t>
    </w:r>
    <w:r>
      <w:rPr>
        <w:i/>
        <w:iCs/>
        <w:color w:val="999999"/>
        <w:sz w:val="16"/>
        <w:szCs w:val="16"/>
      </w:rPr>
      <w:t>H</w:t>
    </w:r>
    <w:r w:rsidRPr="003337A5">
      <w:rPr>
        <w:i/>
        <w:iCs/>
        <w:color w:val="999999"/>
        <w:sz w:val="16"/>
        <w:szCs w:val="16"/>
        <w:lang w:val="ru-RU"/>
      </w:rPr>
      <w:t>1 2026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453"/>
    <w:multiLevelType w:val="hybridMultilevel"/>
    <w:tmpl w:val="89449278"/>
    <w:lvl w:ilvl="0" w:tplc="AFDE696C">
      <w:start w:val="1"/>
      <w:numFmt w:val="bullet"/>
      <w:lvlText w:val="●"/>
      <w:lvlJc w:val="left"/>
      <w:pPr>
        <w:ind w:left="720" w:hanging="360"/>
      </w:pPr>
    </w:lvl>
    <w:lvl w:ilvl="1" w:tplc="E0A816E6">
      <w:start w:val="1"/>
      <w:numFmt w:val="bullet"/>
      <w:lvlText w:val="○"/>
      <w:lvlJc w:val="left"/>
      <w:pPr>
        <w:ind w:left="1440" w:hanging="360"/>
      </w:pPr>
    </w:lvl>
    <w:lvl w:ilvl="2" w:tplc="FE98C006">
      <w:start w:val="1"/>
      <w:numFmt w:val="bullet"/>
      <w:lvlText w:val="■"/>
      <w:lvlJc w:val="left"/>
      <w:pPr>
        <w:ind w:left="2160" w:hanging="360"/>
      </w:pPr>
    </w:lvl>
    <w:lvl w:ilvl="3" w:tplc="33D6EFF2">
      <w:start w:val="1"/>
      <w:numFmt w:val="bullet"/>
      <w:lvlText w:val="●"/>
      <w:lvlJc w:val="left"/>
      <w:pPr>
        <w:ind w:left="2880" w:hanging="360"/>
      </w:pPr>
    </w:lvl>
    <w:lvl w:ilvl="4" w:tplc="CAB893E2">
      <w:start w:val="1"/>
      <w:numFmt w:val="bullet"/>
      <w:lvlText w:val="○"/>
      <w:lvlJc w:val="left"/>
      <w:pPr>
        <w:ind w:left="3600" w:hanging="360"/>
      </w:pPr>
    </w:lvl>
    <w:lvl w:ilvl="5" w:tplc="B3CE6A38">
      <w:start w:val="1"/>
      <w:numFmt w:val="bullet"/>
      <w:lvlText w:val="■"/>
      <w:lvlJc w:val="left"/>
      <w:pPr>
        <w:ind w:left="4320" w:hanging="360"/>
      </w:pPr>
    </w:lvl>
    <w:lvl w:ilvl="6" w:tplc="60C83CFA">
      <w:start w:val="1"/>
      <w:numFmt w:val="bullet"/>
      <w:lvlText w:val="●"/>
      <w:lvlJc w:val="left"/>
      <w:pPr>
        <w:ind w:left="5040" w:hanging="360"/>
      </w:pPr>
    </w:lvl>
    <w:lvl w:ilvl="7" w:tplc="BF465348">
      <w:start w:val="1"/>
      <w:numFmt w:val="bullet"/>
      <w:lvlText w:val="●"/>
      <w:lvlJc w:val="left"/>
      <w:pPr>
        <w:ind w:left="5760" w:hanging="360"/>
      </w:pPr>
    </w:lvl>
    <w:lvl w:ilvl="8" w:tplc="7688C1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0B2457"/>
    <w:multiLevelType w:val="hybridMultilevel"/>
    <w:tmpl w:val="B4026592"/>
    <w:lvl w:ilvl="0" w:tplc="F84046DE">
      <w:start w:val="1"/>
      <w:numFmt w:val="bullet"/>
      <w:lvlText w:val="•"/>
      <w:lvlJc w:val="left"/>
      <w:pPr>
        <w:ind w:left="720" w:hanging="360"/>
      </w:pPr>
    </w:lvl>
    <w:lvl w:ilvl="1" w:tplc="3E4AEB2C">
      <w:numFmt w:val="decimal"/>
      <w:lvlText w:val=""/>
      <w:lvlJc w:val="left"/>
    </w:lvl>
    <w:lvl w:ilvl="2" w:tplc="8500B37E">
      <w:numFmt w:val="decimal"/>
      <w:lvlText w:val=""/>
      <w:lvlJc w:val="left"/>
    </w:lvl>
    <w:lvl w:ilvl="3" w:tplc="5796708C">
      <w:numFmt w:val="decimal"/>
      <w:lvlText w:val=""/>
      <w:lvlJc w:val="left"/>
    </w:lvl>
    <w:lvl w:ilvl="4" w:tplc="1354DBA6">
      <w:numFmt w:val="decimal"/>
      <w:lvlText w:val=""/>
      <w:lvlJc w:val="left"/>
    </w:lvl>
    <w:lvl w:ilvl="5" w:tplc="32FA314E">
      <w:numFmt w:val="decimal"/>
      <w:lvlText w:val=""/>
      <w:lvlJc w:val="left"/>
    </w:lvl>
    <w:lvl w:ilvl="6" w:tplc="C246B2F4">
      <w:numFmt w:val="decimal"/>
      <w:lvlText w:val=""/>
      <w:lvlJc w:val="left"/>
    </w:lvl>
    <w:lvl w:ilvl="7" w:tplc="C2EC7E4E">
      <w:numFmt w:val="decimal"/>
      <w:lvlText w:val=""/>
      <w:lvlJc w:val="left"/>
    </w:lvl>
    <w:lvl w:ilvl="8" w:tplc="0980B090">
      <w:numFmt w:val="decimal"/>
      <w:lvlText w:val=""/>
      <w:lvlJc w:val="left"/>
    </w:lvl>
  </w:abstractNum>
  <w:num w:numId="1" w16cid:durableId="1072388366">
    <w:abstractNumId w:val="0"/>
    <w:lvlOverride w:ilvl="0">
      <w:startOverride w:val="1"/>
    </w:lvlOverride>
  </w:num>
  <w:num w:numId="2" w16cid:durableId="17284565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77"/>
    <w:rsid w:val="00293A77"/>
    <w:rsid w:val="002D51E6"/>
    <w:rsid w:val="003337A5"/>
    <w:rsid w:val="007719E0"/>
    <w:rsid w:val="00B67CE0"/>
    <w:rsid w:val="00DA30F9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1D57"/>
  <w15:docId w15:val="{1B7E5675-ABFF-4DE8-B73D-D6B8D0C5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color w:val="1B4F72"/>
      <w:sz w:val="34"/>
      <w:szCs w:val="34"/>
    </w:rPr>
  </w:style>
  <w:style w:type="paragraph" w:styleId="2">
    <w:name w:val="heading 2"/>
    <w:uiPriority w:val="9"/>
    <w:unhideWhenUsed/>
    <w:qFormat/>
    <w:pPr>
      <w:spacing w:before="280" w:after="160"/>
      <w:outlineLvl w:val="1"/>
    </w:pPr>
    <w:rPr>
      <w:b/>
      <w:bCs/>
      <w:color w:val="1B4F72"/>
      <w:sz w:val="28"/>
      <w:szCs w:val="28"/>
    </w:rPr>
  </w:style>
  <w:style w:type="paragraph" w:styleId="3">
    <w:name w:val="heading 3"/>
    <w:uiPriority w:val="9"/>
    <w:unhideWhenUsed/>
    <w:qFormat/>
    <w:pPr>
      <w:spacing w:before="240" w:after="120"/>
      <w:outlineLvl w:val="2"/>
    </w:pPr>
    <w:rPr>
      <w:b/>
      <w:bCs/>
      <w:color w:val="2C3E50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337A5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37A5"/>
  </w:style>
  <w:style w:type="paragraph" w:styleId="ae">
    <w:name w:val="footer"/>
    <w:basedOn w:val="a"/>
    <w:link w:val="af"/>
    <w:uiPriority w:val="99"/>
    <w:unhideWhenUsed/>
    <w:rsid w:val="003337A5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37A5"/>
  </w:style>
  <w:style w:type="paragraph" w:customStyle="1" w:styleId="isselectedend">
    <w:name w:val="isselectedend"/>
    <w:basedOn w:val="a"/>
    <w:rsid w:val="00B67C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B67C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Unresolved Mention"/>
    <w:basedOn w:val="a0"/>
    <w:uiPriority w:val="99"/>
    <w:semiHidden/>
    <w:unhideWhenUsed/>
    <w:rsid w:val="00B67CE0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B67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y.com/content/dam/ey-unified-site/ey-com/en-uz/documents/ey-doing-business-uz-2026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pmg.com/uz/en/insights/2026/02/global-mobility-benchmarking-repor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pmg.com/uz/en/insights/2026/03/banking-and-capital-marke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Kamilla M. Kadirova</cp:lastModifiedBy>
  <cp:revision>2</cp:revision>
  <dcterms:created xsi:type="dcterms:W3CDTF">2026-07-02T07:03:00Z</dcterms:created>
  <dcterms:modified xsi:type="dcterms:W3CDTF">2026-07-02T07:03:00Z</dcterms:modified>
</cp:coreProperties>
</file>