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2062" w14:textId="77777777" w:rsidR="007E068B" w:rsidRPr="006012A0" w:rsidRDefault="00000000" w:rsidP="006012A0">
      <w:pPr>
        <w:spacing w:after="120"/>
        <w:jc w:val="center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b/>
          <w:bCs/>
          <w:color w:val="000000" w:themeColor="text1"/>
          <w:sz w:val="36"/>
          <w:szCs w:val="36"/>
          <w:lang w:val="ru-RU"/>
        </w:rPr>
        <w:t>Малый бизнес Узбекистана в эпоху ИИ-агентов и демографических перемен</w:t>
      </w:r>
    </w:p>
    <w:p w14:paraId="2B513103" w14:textId="77777777" w:rsidR="007E068B" w:rsidRPr="006012A0" w:rsidRDefault="00000000" w:rsidP="006012A0">
      <w:pPr>
        <w:spacing w:after="60"/>
        <w:jc w:val="center"/>
        <w:rPr>
          <w:i/>
          <w:iCs/>
          <w:color w:val="000000" w:themeColor="text1"/>
          <w:sz w:val="18"/>
          <w:szCs w:val="18"/>
          <w:lang w:val="ru-RU"/>
        </w:rPr>
      </w:pPr>
      <w:r w:rsidRPr="006012A0">
        <w:rPr>
          <w:rFonts w:ascii="Arial" w:eastAsia="Arial" w:hAnsi="Arial" w:cs="Arial"/>
          <w:i/>
          <w:iCs/>
          <w:color w:val="000000" w:themeColor="text1"/>
          <w:sz w:val="18"/>
          <w:szCs w:val="18"/>
          <w:lang w:val="ru-RU"/>
        </w:rPr>
        <w:t xml:space="preserve">Аналитический обзор трендов по итогам </w:t>
      </w:r>
      <w:r w:rsidRPr="006012A0">
        <w:rPr>
          <w:rFonts w:ascii="Arial" w:eastAsia="Arial" w:hAnsi="Arial" w:cs="Arial"/>
          <w:i/>
          <w:iCs/>
          <w:color w:val="000000" w:themeColor="text1"/>
          <w:sz w:val="18"/>
          <w:szCs w:val="18"/>
        </w:rPr>
        <w:t>III</w:t>
      </w:r>
      <w:r w:rsidRPr="006012A0">
        <w:rPr>
          <w:rFonts w:ascii="Arial" w:eastAsia="Arial" w:hAnsi="Arial" w:cs="Arial"/>
          <w:i/>
          <w:iCs/>
          <w:color w:val="000000" w:themeColor="text1"/>
          <w:sz w:val="18"/>
          <w:szCs w:val="18"/>
          <w:lang w:val="ru-RU"/>
        </w:rPr>
        <w:t xml:space="preserve"> квартала 2026 года</w:t>
      </w:r>
    </w:p>
    <w:p w14:paraId="64D1F8A9" w14:textId="77777777" w:rsidR="007E068B" w:rsidRPr="006012A0" w:rsidRDefault="00000000" w:rsidP="006012A0">
      <w:pPr>
        <w:pBdr>
          <w:bottom w:val="single" w:sz="8" w:space="6" w:color="1F3A5F"/>
        </w:pBdr>
        <w:spacing w:after="240"/>
        <w:jc w:val="center"/>
        <w:rPr>
          <w:i/>
          <w:iCs/>
          <w:color w:val="000000" w:themeColor="text1"/>
          <w:sz w:val="18"/>
          <w:szCs w:val="18"/>
          <w:lang w:val="ru-RU"/>
        </w:rPr>
      </w:pPr>
      <w:r w:rsidRPr="006012A0">
        <w:rPr>
          <w:rFonts w:ascii="Arial" w:eastAsia="Arial" w:hAnsi="Arial" w:cs="Arial"/>
          <w:i/>
          <w:iCs/>
          <w:color w:val="000000" w:themeColor="text1"/>
          <w:sz w:val="14"/>
          <w:szCs w:val="14"/>
          <w:lang w:val="ru-RU"/>
        </w:rPr>
        <w:t>Сентябрь 2026 года</w:t>
      </w:r>
    </w:p>
    <w:p w14:paraId="663D4A8D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1. Введение</w:t>
      </w:r>
    </w:p>
    <w:p w14:paraId="5861F74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Третий квартал 2026 года принёс предпринимателям два важных сигнала. С одной стороны, экономика Узбекистана растёт одними из самых высоких темпов в мире, и международные организации в течение лета одна за другой повышали прогнозы на текущий год. С другой стороны, мировые исследования этого периода показывают, что искусственный интеллект перестал быть новинкой и превратился в обычный рабочий инструмент, однако реальную финансовую отдачу от него получает лишь небольшая часть компаний. Для малого бизнеса это означает одновременно новые возможности и новые требования к управлению.</w:t>
      </w:r>
    </w:p>
    <w:p w14:paraId="41589338" w14:textId="139D5868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Настоящий обзор подготовлен для предпринимателей и владельцев малого бизнеса. Он обобщает выводы отчётов, опубликованных с июня по сентябрь 2026 года международными консалтинговыми компаниями </w:t>
      </w:r>
      <w:r w:rsidRPr="006012A0">
        <w:rPr>
          <w:color w:val="000000" w:themeColor="text1"/>
        </w:rPr>
        <w:t>McKinsey</w:t>
      </w:r>
      <w:r w:rsidRPr="006012A0">
        <w:rPr>
          <w:color w:val="000000" w:themeColor="text1"/>
          <w:lang w:val="ru-RU"/>
        </w:rPr>
        <w:t xml:space="preserve">, </w:t>
      </w:r>
      <w:r w:rsidRPr="006012A0">
        <w:rPr>
          <w:color w:val="000000" w:themeColor="text1"/>
        </w:rPr>
        <w:t>Boston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Consulting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Group</w:t>
      </w:r>
      <w:r w:rsidRPr="006012A0">
        <w:rPr>
          <w:color w:val="000000" w:themeColor="text1"/>
          <w:lang w:val="ru-RU"/>
        </w:rPr>
        <w:t xml:space="preserve">,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 xml:space="preserve">, </w:t>
      </w:r>
      <w:r w:rsidRPr="006012A0">
        <w:rPr>
          <w:color w:val="000000" w:themeColor="text1"/>
        </w:rPr>
        <w:t>PwC</w:t>
      </w:r>
      <w:r w:rsidRPr="006012A0">
        <w:rPr>
          <w:color w:val="000000" w:themeColor="text1"/>
          <w:lang w:val="ru-RU"/>
        </w:rPr>
        <w:t xml:space="preserve"> и </w:t>
      </w:r>
      <w:r w:rsidRPr="006012A0">
        <w:rPr>
          <w:color w:val="000000" w:themeColor="text1"/>
        </w:rPr>
        <w:t>Bain</w:t>
      </w:r>
      <w:r w:rsidRPr="006012A0">
        <w:rPr>
          <w:color w:val="000000" w:themeColor="text1"/>
          <w:lang w:val="ru-RU"/>
        </w:rPr>
        <w:t xml:space="preserve"> &amp; </w:t>
      </w:r>
      <w:r w:rsidRPr="006012A0">
        <w:rPr>
          <w:color w:val="000000" w:themeColor="text1"/>
        </w:rPr>
        <w:t>Company</w:t>
      </w:r>
      <w:r w:rsidRPr="006012A0">
        <w:rPr>
          <w:color w:val="000000" w:themeColor="text1"/>
          <w:lang w:val="ru-RU"/>
        </w:rPr>
        <w:t xml:space="preserve">, исследовательскими центрами и деловыми изданиями, включая Копенгагенский институт исследований будущего, </w:t>
      </w:r>
      <w:r w:rsidRPr="006012A0">
        <w:rPr>
          <w:color w:val="000000" w:themeColor="text1"/>
        </w:rPr>
        <w:t>Harvard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Business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Review</w:t>
      </w:r>
      <w:r w:rsidRPr="006012A0">
        <w:rPr>
          <w:color w:val="000000" w:themeColor="text1"/>
          <w:lang w:val="ru-RU"/>
        </w:rPr>
        <w:t xml:space="preserve"> и </w:t>
      </w:r>
      <w:r w:rsidRPr="006012A0">
        <w:rPr>
          <w:color w:val="000000" w:themeColor="text1"/>
        </w:rPr>
        <w:t>MIT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Technology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Review</w:t>
      </w:r>
      <w:r w:rsidRPr="006012A0">
        <w:rPr>
          <w:color w:val="000000" w:themeColor="text1"/>
          <w:lang w:val="ru-RU"/>
        </w:rPr>
        <w:t xml:space="preserve">, а также данные МВФ, Всемирного банка, ЕБРР, Азиатского банка развития, Центрального банка и Национального комитета по статистике Республики Узбекистан. </w:t>
      </w:r>
    </w:p>
    <w:p w14:paraId="7E14B42A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Обзор сосредоточен на трёх темах, которые, по оценке большинства источников, в ближайшие годы сильнее всего повлияют на малый бизнес. Первая тема касается искусственного интеллекта и ИИ-агентов, то есть программ, способных не только отвечать на вопросы, но и самостоятельно выполнять цепочки действий. Вторая тема посвящена трансформации компаний, то есть перестройке процессов, ролей и способов принятия решений. Третья тема связана с демографией, которая определяет, кто будет покупателем и работником в ближайшее десятилетие. Материал построен от общего к частному. Сначала рассматриваются мировые тенденции, затем региональный контекст и положение в Узбекистане, а завершается обзор практическими рекомендациями.</w:t>
      </w:r>
    </w:p>
    <w:p w14:paraId="7B50B3E1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2. Ключевые выводы квартала</w:t>
      </w:r>
    </w:p>
    <w:p w14:paraId="6211AC0F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Первый вывод касается искусственного интеллекта. Им регулярно пользуются почти девять из десяти организаций в мире, однако лишь 37% отмечают хоть какое-то влияние ИИ на операционную прибыль, а значимый эффект получают около 6% компаний</w:t>
      </w:r>
      <w:r w:rsidRPr="006012A0">
        <w:rPr>
          <w:rStyle w:val="FootnoteReference"/>
          <w:color w:val="000000" w:themeColor="text1"/>
        </w:rPr>
        <w:footnoteReference w:id="1"/>
      </w:r>
      <w:r w:rsidRPr="006012A0">
        <w:rPr>
          <w:color w:val="000000" w:themeColor="text1"/>
          <w:lang w:val="ru-RU"/>
        </w:rPr>
        <w:t>. Разрыв объясняется не возможностями технологии, а тем, что большинство компаний встраивают ИИ в старые процессы, не меняя их.</w:t>
      </w:r>
    </w:p>
    <w:p w14:paraId="5B0295E3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Второй вывод касается малого бизнеса. Крупные организации за год увеличили долю тех, кто масштабирует ИИ-агентов, с 27 до 40%, тогда как у небольших организаций этот показатель остался на уровне 22%</w:t>
      </w:r>
      <w:r w:rsidRPr="006012A0">
        <w:rPr>
          <w:rStyle w:val="FootnoteReference"/>
          <w:color w:val="000000" w:themeColor="text1"/>
        </w:rPr>
        <w:footnoteReference w:id="2"/>
      </w:r>
      <w:r w:rsidRPr="006012A0">
        <w:rPr>
          <w:color w:val="000000" w:themeColor="text1"/>
          <w:lang w:val="ru-RU"/>
        </w:rPr>
        <w:t>. Если малый бизнес не начнёт осваивать новые инструменты целенаправленно, его отставание в производительности от крупных игроков будет расти.</w:t>
      </w:r>
    </w:p>
    <w:p w14:paraId="0D3D0886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lastRenderedPageBreak/>
        <w:t>Третий вывод касается экономики Узбекистана. В первом полугодии 2026 года ВВП вырос на 8,5%</w:t>
      </w:r>
      <w:r w:rsidRPr="006012A0">
        <w:rPr>
          <w:rStyle w:val="FootnoteReference"/>
          <w:color w:val="000000" w:themeColor="text1"/>
        </w:rPr>
        <w:footnoteReference w:id="3"/>
      </w:r>
      <w:r w:rsidRPr="006012A0">
        <w:rPr>
          <w:color w:val="000000" w:themeColor="text1"/>
          <w:lang w:val="ru-RU"/>
        </w:rPr>
        <w:t>, а прогнозы роста на год находятся в диапазоне от 6,4 до 8,1%. При этом основная ставка Центрального банка сохраняется на уровне 14% при инфляции 6,2%</w:t>
      </w:r>
      <w:r w:rsidRPr="006012A0">
        <w:rPr>
          <w:rStyle w:val="FootnoteReference"/>
          <w:color w:val="000000" w:themeColor="text1"/>
        </w:rPr>
        <w:footnoteReference w:id="4"/>
      </w:r>
      <w:r w:rsidRPr="006012A0">
        <w:rPr>
          <w:color w:val="000000" w:themeColor="text1"/>
          <w:lang w:val="ru-RU"/>
        </w:rPr>
        <w:t>, поэтому деньги для бизнеса остаются дорогими, а проекты должны окупаться быстро.</w:t>
      </w:r>
    </w:p>
    <w:p w14:paraId="797CB51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Четвёртый вывод касается демографии. По предварительным итогам переписи население страны превысило 39 млн человек, из них 12,5 млн моложе трудоспособного возраста</w:t>
      </w:r>
      <w:r w:rsidRPr="006012A0">
        <w:rPr>
          <w:rStyle w:val="FootnoteReference"/>
          <w:color w:val="000000" w:themeColor="text1"/>
        </w:rPr>
        <w:footnoteReference w:id="5"/>
      </w:r>
      <w:r w:rsidRPr="006012A0">
        <w:rPr>
          <w:color w:val="000000" w:themeColor="text1"/>
          <w:lang w:val="ru-RU"/>
        </w:rPr>
        <w:t>. Молодой, городской и всё более цифровой потребитель, а также денежные переводы трудовых мигрантов, достигшие в первом полугодии 9,3 млрд долларов</w:t>
      </w:r>
      <w:r w:rsidRPr="006012A0">
        <w:rPr>
          <w:rStyle w:val="FootnoteReference"/>
          <w:color w:val="000000" w:themeColor="text1"/>
        </w:rPr>
        <w:footnoteReference w:id="6"/>
      </w:r>
      <w:r w:rsidRPr="006012A0">
        <w:rPr>
          <w:color w:val="000000" w:themeColor="text1"/>
          <w:lang w:val="ru-RU"/>
        </w:rPr>
        <w:t>, формируют спрос, под который малому бизнесу стоит выстраивать свои продукты.</w:t>
      </w:r>
    </w:p>
    <w:p w14:paraId="403C77AB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3. Мир. Искусственный интеллект и ИИ-агенты в бизнесе</w:t>
      </w:r>
    </w:p>
    <w:p w14:paraId="6AC7B11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Главная перемена 2026 года состоит в том, что дискуссия об искусственном интеллекте сместилась с вопроса о том, внедрять ли его, на вопрос о том, как получить от него отдачу. Исследование </w:t>
      </w:r>
      <w:r w:rsidRPr="006012A0">
        <w:rPr>
          <w:color w:val="000000" w:themeColor="text1"/>
        </w:rPr>
        <w:t>McKinsey</w:t>
      </w:r>
      <w:r w:rsidRPr="006012A0">
        <w:rPr>
          <w:color w:val="000000" w:themeColor="text1"/>
          <w:lang w:val="ru-RU"/>
        </w:rPr>
        <w:t>, опубликованное в конце августа, показывает, что почти девять из десяти организаций регулярно используют ИИ хотя бы в одной функции. Однако лишь 37% респондентов связывают с ИИ хоть какой-то прирост операционной прибыли, и эта доля за год не изменилась. Компании, которые связывают с ИИ не менее 5% своей операционной прибыли и оценивают его вклад как значительный, составляют лишь около 6% выборки</w:t>
      </w:r>
      <w:r w:rsidRPr="006012A0">
        <w:rPr>
          <w:rStyle w:val="FootnoteReference"/>
          <w:color w:val="000000" w:themeColor="text1"/>
        </w:rPr>
        <w:footnoteReference w:id="7"/>
      </w:r>
      <w:r w:rsidRPr="006012A0">
        <w:rPr>
          <w:color w:val="000000" w:themeColor="text1"/>
          <w:lang w:val="ru-RU"/>
        </w:rPr>
        <w:t>. Иначе говоря, технология стала массовой, а результат от неё остаётся редкостью.</w:t>
      </w:r>
    </w:p>
    <w:p w14:paraId="09E099C5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Похожую картину даёт опрос </w:t>
      </w:r>
      <w:r w:rsidRPr="006012A0">
        <w:rPr>
          <w:color w:val="000000" w:themeColor="text1"/>
        </w:rPr>
        <w:t>BCG</w:t>
      </w:r>
      <w:r w:rsidRPr="006012A0">
        <w:rPr>
          <w:color w:val="000000" w:themeColor="text1"/>
          <w:lang w:val="ru-RU"/>
        </w:rPr>
        <w:t>, в котором приняли участие почти 12 тысяч сотрудников компаний более чем из десятка стран. Регулярно пользуются ИИ уже 74% рядовых сотрудников, а 42% из них экономят не менее восьми часов в неделю, то есть целый рабочий день. Доля тех, у кого ИИ-агенты встроены в рабочие процессы, выросла за год с 13 до 30%</w:t>
      </w:r>
      <w:r w:rsidRPr="006012A0">
        <w:rPr>
          <w:rStyle w:val="FootnoteReference"/>
          <w:color w:val="000000" w:themeColor="text1"/>
        </w:rPr>
        <w:footnoteReference w:id="8"/>
      </w:r>
      <w:r w:rsidRPr="006012A0">
        <w:rPr>
          <w:color w:val="000000" w:themeColor="text1"/>
          <w:lang w:val="ru-RU"/>
        </w:rPr>
        <w:t>. Вместе с тем авторы подчёркивают, что сэкономленное время часто не превращается в дополнительную ценность для бизнеса, если руководство не определило, как его использовать. Отсюда вывод, вынесенный в название исследования, согласно которому стратегия важнее инструментов.</w:t>
      </w:r>
    </w:p>
    <w:p w14:paraId="0877BDDD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Опрос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>, охвативший 1 750 руководителей трансформационных программ из 20 стран, подтверждает управленческий характер проблемы. Лишь 26% опрошенных полностью согласны с тем, что ИИ помог их компаниям достичь целей роста</w:t>
      </w:r>
      <w:r w:rsidRPr="006012A0">
        <w:rPr>
          <w:rStyle w:val="FootnoteReference"/>
          <w:color w:val="000000" w:themeColor="text1"/>
        </w:rPr>
        <w:footnoteReference w:id="9"/>
      </w:r>
      <w:r w:rsidRPr="006012A0">
        <w:rPr>
          <w:color w:val="000000" w:themeColor="text1"/>
          <w:lang w:val="ru-RU"/>
        </w:rPr>
        <w:t>. Главным препятствием для отдачи от инвестиций в ИИ названы высокая стоимость внедрения и неясная окупаемость (29%), за ними следуют проблемы с инфраструктурой данных (23%) и нехватка квалифицированных специалистов (22%)</w:t>
      </w:r>
      <w:r w:rsidRPr="006012A0">
        <w:rPr>
          <w:rStyle w:val="FootnoteReference"/>
          <w:color w:val="000000" w:themeColor="text1"/>
        </w:rPr>
        <w:footnoteReference w:id="10"/>
      </w:r>
      <w:r w:rsidRPr="006012A0">
        <w:rPr>
          <w:color w:val="000000" w:themeColor="text1"/>
          <w:lang w:val="ru-RU"/>
        </w:rPr>
        <w:t xml:space="preserve">. </w:t>
      </w:r>
      <w:proofErr w:type="spellStart"/>
      <w:r w:rsidRPr="006012A0">
        <w:rPr>
          <w:color w:val="000000" w:themeColor="text1"/>
          <w:lang w:val="ru-RU"/>
        </w:rPr>
        <w:t>Агентный</w:t>
      </w:r>
      <w:proofErr w:type="spellEnd"/>
      <w:r w:rsidRPr="006012A0">
        <w:rPr>
          <w:color w:val="000000" w:themeColor="text1"/>
          <w:lang w:val="ru-RU"/>
        </w:rPr>
        <w:t xml:space="preserve"> ИИ при этом уже вышел за пределы ИТ-подразделений и применяется в маркетинге и продажах в 43% компаний, в операционной деятельности в 42% и в финансах в 33%</w:t>
      </w:r>
      <w:r w:rsidRPr="006012A0">
        <w:rPr>
          <w:rStyle w:val="FootnoteReference"/>
          <w:color w:val="000000" w:themeColor="text1"/>
        </w:rPr>
        <w:footnoteReference w:id="11"/>
      </w:r>
      <w:r w:rsidRPr="006012A0">
        <w:rPr>
          <w:color w:val="000000" w:themeColor="text1"/>
          <w:lang w:val="ru-RU"/>
        </w:rPr>
        <w:t>.</w:t>
      </w:r>
    </w:p>
    <w:p w14:paraId="74BB6999" w14:textId="77777777" w:rsidR="007E068B" w:rsidRPr="006012A0" w:rsidRDefault="00000000">
      <w:pPr>
        <w:keepNext/>
        <w:spacing w:before="160" w:after="60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b/>
          <w:bCs/>
          <w:color w:val="000000" w:themeColor="text1"/>
          <w:sz w:val="19"/>
          <w:szCs w:val="19"/>
          <w:lang w:val="ru-RU"/>
        </w:rPr>
        <w:lastRenderedPageBreak/>
        <w:t>Рисунок 1. Доля организаций, масштабирующих ИИ-агентов, в 2025 и 2026 годах, %</w:t>
      </w:r>
    </w:p>
    <w:p w14:paraId="54CF1A20" w14:textId="77777777" w:rsidR="007E068B" w:rsidRPr="006012A0" w:rsidRDefault="00000000">
      <w:pPr>
        <w:keepNext/>
        <w:spacing w:after="40"/>
        <w:jc w:val="center"/>
        <w:rPr>
          <w:color w:val="000000" w:themeColor="text1"/>
        </w:rPr>
      </w:pPr>
      <w:r w:rsidRPr="006012A0">
        <w:rPr>
          <w:noProof/>
          <w:color w:val="000000" w:themeColor="text1"/>
        </w:rPr>
        <w:drawing>
          <wp:inline distT="0" distB="0" distL="0" distR="0" wp14:anchorId="1120CC5B" wp14:editId="324C8B30">
            <wp:extent cx="571500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A2E18" w14:textId="77777777" w:rsidR="007E068B" w:rsidRPr="006012A0" w:rsidRDefault="00000000">
      <w:pPr>
        <w:spacing w:after="200"/>
        <w:rPr>
          <w:color w:val="000000" w:themeColor="text1"/>
        </w:rPr>
      </w:pPr>
      <w:proofErr w:type="spellStart"/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Источник</w:t>
      </w:r>
      <w:proofErr w:type="spellEnd"/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 xml:space="preserve"> — McKinsey &amp; Company, The state of AI in 2026, </w:t>
      </w:r>
      <w:proofErr w:type="spellStart"/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август</w:t>
      </w:r>
      <w:proofErr w:type="spellEnd"/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 xml:space="preserve"> 2026 г.</w:t>
      </w:r>
    </w:p>
    <w:p w14:paraId="75371AD8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Особого внимания заслуживает вопрос о том, что вообще считать ИИ-агентом. Аналитики компании «Яков и партнёры» проверили 18 продуктов, которые позиционируются как лидеры мирового рынка ИИ-агентов, и только 7 из них прошли проверку по шести критериям </w:t>
      </w:r>
      <w:proofErr w:type="spellStart"/>
      <w:r w:rsidRPr="006012A0">
        <w:rPr>
          <w:color w:val="000000" w:themeColor="text1"/>
          <w:lang w:val="ru-RU"/>
        </w:rPr>
        <w:t>агентности</w:t>
      </w:r>
      <w:proofErr w:type="spellEnd"/>
      <w:r w:rsidRPr="006012A0">
        <w:rPr>
          <w:color w:val="000000" w:themeColor="text1"/>
          <w:lang w:val="ru-RU"/>
        </w:rPr>
        <w:t>. Остальные оказались ассистентами разной степени продвинутости, которые называются агентами в маркетинговых целях. Из 43 публичных проектов по внедрению агентов в крупных компаниях уровня полноценного агента достигли лишь 10, причём больше половины решений используется во внутренних процессах, а не в работе с клиентами</w:t>
      </w:r>
      <w:r w:rsidRPr="006012A0">
        <w:rPr>
          <w:rStyle w:val="FootnoteReference"/>
          <w:color w:val="000000" w:themeColor="text1"/>
        </w:rPr>
        <w:footnoteReference w:id="12"/>
      </w:r>
      <w:r w:rsidRPr="006012A0">
        <w:rPr>
          <w:color w:val="000000" w:themeColor="text1"/>
          <w:lang w:val="ru-RU"/>
        </w:rPr>
        <w:t>. Авторы описывают эффект «каскада затухания», при котором отдельная задача в лабораторных условиях решается на 55% быстрее, но на уровне всей компании эффект оказывается нулевым, если процессы вокруг неё не перестроены</w:t>
      </w:r>
      <w:r w:rsidRPr="006012A0">
        <w:rPr>
          <w:rStyle w:val="FootnoteReference"/>
          <w:color w:val="000000" w:themeColor="text1"/>
        </w:rPr>
        <w:footnoteReference w:id="13"/>
      </w:r>
      <w:r w:rsidRPr="006012A0">
        <w:rPr>
          <w:color w:val="000000" w:themeColor="text1"/>
          <w:lang w:val="ru-RU"/>
        </w:rPr>
        <w:t>.</w:t>
      </w:r>
    </w:p>
    <w:p w14:paraId="5E0DBF4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Вторая практическая проблема связана с затратами и безопасностью. Около 20% участников опроса </w:t>
      </w:r>
      <w:r w:rsidRPr="006012A0">
        <w:rPr>
          <w:color w:val="000000" w:themeColor="text1"/>
        </w:rPr>
        <w:t>McKinsey</w:t>
      </w:r>
      <w:r w:rsidRPr="006012A0">
        <w:rPr>
          <w:color w:val="000000" w:themeColor="text1"/>
          <w:lang w:val="ru-RU"/>
        </w:rPr>
        <w:t xml:space="preserve"> признали, что расходы на эксплуатацию ИИ ограничивают его использование</w:t>
      </w:r>
      <w:r w:rsidRPr="006012A0">
        <w:rPr>
          <w:rStyle w:val="FootnoteReference"/>
          <w:color w:val="000000" w:themeColor="text1"/>
        </w:rPr>
        <w:footnoteReference w:id="14"/>
      </w:r>
      <w:r w:rsidRPr="006012A0">
        <w:rPr>
          <w:color w:val="000000" w:themeColor="text1"/>
          <w:lang w:val="ru-RU"/>
        </w:rPr>
        <w:t xml:space="preserve">. По данным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>, 53% американских компаний уже используют ИИ-агентов, однако лишь 26% видят расходы на работу ИИ в режиме реального времени</w:t>
      </w:r>
      <w:r w:rsidRPr="006012A0">
        <w:rPr>
          <w:rStyle w:val="FootnoteReference"/>
          <w:color w:val="000000" w:themeColor="text1"/>
        </w:rPr>
        <w:footnoteReference w:id="15"/>
      </w:r>
      <w:r w:rsidRPr="006012A0">
        <w:rPr>
          <w:color w:val="000000" w:themeColor="text1"/>
          <w:lang w:val="ru-RU"/>
        </w:rPr>
        <w:t xml:space="preserve">. </w:t>
      </w:r>
      <w:r w:rsidRPr="006012A0">
        <w:rPr>
          <w:color w:val="000000" w:themeColor="text1"/>
        </w:rPr>
        <w:t>Bain</w:t>
      </w:r>
      <w:r w:rsidRPr="006012A0">
        <w:rPr>
          <w:color w:val="000000" w:themeColor="text1"/>
          <w:lang w:val="ru-RU"/>
        </w:rPr>
        <w:t xml:space="preserve"> &amp; </w:t>
      </w:r>
      <w:r w:rsidRPr="006012A0">
        <w:rPr>
          <w:color w:val="000000" w:themeColor="text1"/>
        </w:rPr>
        <w:t>Company</w:t>
      </w:r>
      <w:r w:rsidRPr="006012A0">
        <w:rPr>
          <w:color w:val="000000" w:themeColor="text1"/>
          <w:lang w:val="ru-RU"/>
        </w:rPr>
        <w:t xml:space="preserve"> в технологическом отчёте, вышедшем в конце сентября, отмечает, что с помощью ИИ время подготовки типичной кибератаки сократилось примерно с четырёх недель до 18 часов</w:t>
      </w:r>
      <w:r w:rsidRPr="006012A0">
        <w:rPr>
          <w:rStyle w:val="FootnoteReference"/>
          <w:color w:val="000000" w:themeColor="text1"/>
        </w:rPr>
        <w:footnoteReference w:id="16"/>
      </w:r>
      <w:r w:rsidRPr="006012A0">
        <w:rPr>
          <w:color w:val="000000" w:themeColor="text1"/>
          <w:lang w:val="ru-RU"/>
        </w:rPr>
        <w:t>. Для малого бизнеса это означает, что риски мошенничества, фишинга и подделки платёжных документов растут быстрее, чем раньше.</w:t>
      </w:r>
    </w:p>
    <w:p w14:paraId="5070463C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ИИ меняет и рынок труда. По данным </w:t>
      </w:r>
      <w:r w:rsidRPr="006012A0">
        <w:rPr>
          <w:color w:val="000000" w:themeColor="text1"/>
        </w:rPr>
        <w:t>PwC</w:t>
      </w:r>
      <w:r w:rsidRPr="006012A0">
        <w:rPr>
          <w:color w:val="000000" w:themeColor="text1"/>
          <w:lang w:val="ru-RU"/>
        </w:rPr>
        <w:t xml:space="preserve">, в компаниях, наиболее подверженных влиянию </w:t>
      </w:r>
      <w:r w:rsidRPr="006012A0">
        <w:rPr>
          <w:color w:val="000000" w:themeColor="text1"/>
        </w:rPr>
        <w:t xml:space="preserve">ИИ, </w:t>
      </w:r>
      <w:proofErr w:type="spellStart"/>
      <w:r w:rsidRPr="006012A0">
        <w:rPr>
          <w:color w:val="000000" w:themeColor="text1"/>
        </w:rPr>
        <w:t>производительность</w:t>
      </w:r>
      <w:proofErr w:type="spellEnd"/>
      <w:r w:rsidRPr="006012A0">
        <w:rPr>
          <w:color w:val="000000" w:themeColor="text1"/>
        </w:rPr>
        <w:t xml:space="preserve"> </w:t>
      </w:r>
      <w:proofErr w:type="spellStart"/>
      <w:r w:rsidRPr="006012A0">
        <w:rPr>
          <w:color w:val="000000" w:themeColor="text1"/>
        </w:rPr>
        <w:t>растёт</w:t>
      </w:r>
      <w:proofErr w:type="spellEnd"/>
      <w:r w:rsidRPr="006012A0">
        <w:rPr>
          <w:color w:val="000000" w:themeColor="text1"/>
        </w:rPr>
        <w:t xml:space="preserve"> </w:t>
      </w:r>
      <w:proofErr w:type="spellStart"/>
      <w:r w:rsidRPr="006012A0">
        <w:rPr>
          <w:color w:val="000000" w:themeColor="text1"/>
        </w:rPr>
        <w:t>на</w:t>
      </w:r>
      <w:proofErr w:type="spellEnd"/>
      <w:r w:rsidRPr="006012A0">
        <w:rPr>
          <w:color w:val="000000" w:themeColor="text1"/>
        </w:rPr>
        <w:t xml:space="preserve"> 40% </w:t>
      </w:r>
      <w:proofErr w:type="spellStart"/>
      <w:r w:rsidRPr="006012A0">
        <w:rPr>
          <w:color w:val="000000" w:themeColor="text1"/>
        </w:rPr>
        <w:t>быстрее</w:t>
      </w:r>
      <w:proofErr w:type="spellEnd"/>
      <w:r w:rsidRPr="006012A0">
        <w:rPr>
          <w:color w:val="000000" w:themeColor="text1"/>
        </w:rPr>
        <w:t xml:space="preserve">, </w:t>
      </w:r>
      <w:proofErr w:type="spellStart"/>
      <w:r w:rsidRPr="006012A0">
        <w:rPr>
          <w:color w:val="000000" w:themeColor="text1"/>
        </w:rPr>
        <w:t>чем</w:t>
      </w:r>
      <w:proofErr w:type="spellEnd"/>
      <w:r w:rsidRPr="006012A0">
        <w:rPr>
          <w:color w:val="000000" w:themeColor="text1"/>
        </w:rPr>
        <w:t xml:space="preserve"> в </w:t>
      </w:r>
      <w:proofErr w:type="spellStart"/>
      <w:r w:rsidRPr="006012A0">
        <w:rPr>
          <w:color w:val="000000" w:themeColor="text1"/>
        </w:rPr>
        <w:t>наименее</w:t>
      </w:r>
      <w:proofErr w:type="spellEnd"/>
      <w:r w:rsidRPr="006012A0">
        <w:rPr>
          <w:color w:val="000000" w:themeColor="text1"/>
        </w:rPr>
        <w:t xml:space="preserve"> </w:t>
      </w:r>
      <w:proofErr w:type="spellStart"/>
      <w:r w:rsidRPr="006012A0">
        <w:rPr>
          <w:color w:val="000000" w:themeColor="text1"/>
        </w:rPr>
        <w:t>подверженных</w:t>
      </w:r>
      <w:proofErr w:type="spellEnd"/>
      <w:r w:rsidRPr="006012A0">
        <w:rPr>
          <w:color w:val="000000" w:themeColor="text1"/>
        </w:rPr>
        <w:t xml:space="preserve">. </w:t>
      </w:r>
      <w:r w:rsidRPr="006012A0">
        <w:rPr>
          <w:color w:val="000000" w:themeColor="text1"/>
          <w:lang w:val="ru-RU"/>
        </w:rPr>
        <w:t>Надбавка к заработной плате за навыки работы с ИИ достигла 62%, а число вакансий, требующих таких навыков, выросло на 69% при росте рынка вакансий в целом на 9%</w:t>
      </w:r>
      <w:r w:rsidRPr="006012A0">
        <w:rPr>
          <w:rStyle w:val="FootnoteReference"/>
          <w:color w:val="000000" w:themeColor="text1"/>
        </w:rPr>
        <w:footnoteReference w:id="17"/>
      </w:r>
      <w:r w:rsidRPr="006012A0">
        <w:rPr>
          <w:color w:val="000000" w:themeColor="text1"/>
          <w:lang w:val="ru-RU"/>
        </w:rPr>
        <w:t xml:space="preserve">. </w:t>
      </w:r>
      <w:r w:rsidRPr="006012A0">
        <w:rPr>
          <w:color w:val="000000" w:themeColor="text1"/>
        </w:rPr>
        <w:t>MIT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Technology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Review</w:t>
      </w:r>
      <w:r w:rsidRPr="006012A0">
        <w:rPr>
          <w:color w:val="000000" w:themeColor="text1"/>
          <w:lang w:val="ru-RU"/>
        </w:rPr>
        <w:t xml:space="preserve">, опираясь на данные Стэнфордской лаборатории цифровой экономики и </w:t>
      </w:r>
      <w:r w:rsidRPr="006012A0">
        <w:rPr>
          <w:color w:val="000000" w:themeColor="text1"/>
        </w:rPr>
        <w:t>ADP</w:t>
      </w:r>
      <w:r w:rsidRPr="006012A0">
        <w:rPr>
          <w:color w:val="000000" w:themeColor="text1"/>
          <w:lang w:val="ru-RU"/>
        </w:rPr>
        <w:t xml:space="preserve">, отмечает, что убедительных признаков роста безработицы из-за ИИ пока нет, однако в профессиях с высокой подверженностью ИИ, например среди разработчиков программного </w:t>
      </w:r>
      <w:r w:rsidRPr="006012A0">
        <w:rPr>
          <w:color w:val="000000" w:themeColor="text1"/>
          <w:lang w:val="ru-RU"/>
        </w:rPr>
        <w:lastRenderedPageBreak/>
        <w:t>обеспечения и операторов клиентской поддержки, рабочих мест для начинающих специалистов становится меньше</w:t>
      </w:r>
      <w:r w:rsidRPr="006012A0">
        <w:rPr>
          <w:rStyle w:val="FootnoteReference"/>
          <w:color w:val="000000" w:themeColor="text1"/>
        </w:rPr>
        <w:footnoteReference w:id="18"/>
      </w:r>
      <w:r w:rsidRPr="006012A0">
        <w:rPr>
          <w:color w:val="000000" w:themeColor="text1"/>
          <w:lang w:val="ru-RU"/>
        </w:rPr>
        <w:t>. Копенгагенский институт исследований будущего называет это явление «выпадающим звеном для новичков», поскольку путь молодого специалиста к профессиональному опыту становится круче</w:t>
      </w:r>
      <w:r w:rsidRPr="006012A0">
        <w:rPr>
          <w:rStyle w:val="FootnoteReference"/>
          <w:color w:val="000000" w:themeColor="text1"/>
        </w:rPr>
        <w:footnoteReference w:id="19"/>
      </w:r>
      <w:r w:rsidRPr="006012A0">
        <w:rPr>
          <w:color w:val="000000" w:themeColor="text1"/>
          <w:lang w:val="ru-RU"/>
        </w:rPr>
        <w:t>.</w:t>
      </w:r>
    </w:p>
    <w:p w14:paraId="7E434927" w14:textId="4B0EFFBE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Отдельное направление, важное для торговли и сферы услуг, представляет собой </w:t>
      </w:r>
      <w:proofErr w:type="spellStart"/>
      <w:r w:rsidRPr="006012A0">
        <w:rPr>
          <w:color w:val="000000" w:themeColor="text1"/>
          <w:lang w:val="ru-RU"/>
        </w:rPr>
        <w:t>агентная</w:t>
      </w:r>
      <w:proofErr w:type="spellEnd"/>
      <w:r w:rsidRPr="006012A0">
        <w:rPr>
          <w:color w:val="000000" w:themeColor="text1"/>
          <w:lang w:val="ru-RU"/>
        </w:rPr>
        <w:t xml:space="preserve"> коммерция, при которой ИИ-агент сам подбирает товар, оформляет заказ и оплачивает его от имени покупателя. </w:t>
      </w:r>
      <w:r w:rsidRPr="006012A0">
        <w:rPr>
          <w:color w:val="000000" w:themeColor="text1"/>
        </w:rPr>
        <w:t>McKinsey</w:t>
      </w:r>
      <w:r w:rsidRPr="006012A0">
        <w:rPr>
          <w:color w:val="000000" w:themeColor="text1"/>
          <w:lang w:val="ru-RU"/>
        </w:rPr>
        <w:t xml:space="preserve"> оценивает, что к 2030 году ИИ-агенты могут поставить под угрозу от 75 до 160 млрд долларов мировой выручки платёжной отрасли, поскольку будут автоматически выбирать наиболее выгодные карты, счета и способы оплаты</w:t>
      </w:r>
      <w:r w:rsidRPr="006012A0">
        <w:rPr>
          <w:rStyle w:val="FootnoteReference"/>
          <w:color w:val="000000" w:themeColor="text1"/>
        </w:rPr>
        <w:footnoteReference w:id="20"/>
      </w:r>
      <w:r w:rsidRPr="006012A0">
        <w:rPr>
          <w:color w:val="000000" w:themeColor="text1"/>
          <w:lang w:val="ru-RU"/>
        </w:rPr>
        <w:t xml:space="preserve">. </w:t>
      </w:r>
    </w:p>
    <w:p w14:paraId="765A69CE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4. Мир. Трансформация компаний</w:t>
      </w:r>
    </w:p>
    <w:p w14:paraId="059A01CB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Второй глобальный тренд касается того, как меняются сами компании.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 xml:space="preserve"> констатирует, что трансформация пока не приносит ожидаемого результата не из-за недостатка амбиций или инвестиций, а потому что большинство организаций наращивает число изменений, не перестраивая то, как устроена работа. Лишь 14% компаний считают себя лидерами по результатам среди конкурентов</w:t>
      </w:r>
      <w:r w:rsidRPr="006012A0">
        <w:rPr>
          <w:rStyle w:val="FootnoteReference"/>
          <w:color w:val="000000" w:themeColor="text1"/>
        </w:rPr>
        <w:footnoteReference w:id="21"/>
      </w:r>
      <w:r w:rsidRPr="006012A0">
        <w:rPr>
          <w:color w:val="000000" w:themeColor="text1"/>
          <w:lang w:val="ru-RU"/>
        </w:rPr>
        <w:t>. Наибольший прирост показателей, по самооценке участников опроса, дают преобразования в области управления рисками (+14%), цифровые и технологические преобразования (+9%) и изменение бизнес-модели (+8%)</w:t>
      </w:r>
      <w:r w:rsidRPr="006012A0">
        <w:rPr>
          <w:rStyle w:val="FootnoteReference"/>
          <w:color w:val="000000" w:themeColor="text1"/>
        </w:rPr>
        <w:footnoteReference w:id="22"/>
      </w:r>
      <w:r w:rsidRPr="006012A0">
        <w:rPr>
          <w:color w:val="000000" w:themeColor="text1"/>
          <w:lang w:val="ru-RU"/>
        </w:rPr>
        <w:t>.</w:t>
      </w:r>
    </w:p>
    <w:p w14:paraId="00438943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Лидеры, по данным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>, отличаются тем, что сначала выстраивают технологический фундамент и работу с данными, встраивают контроль рисков и ответственное использование ИИ непосредственно в процессы, организуют работу вокруг создания ценности для клиента, а не вокруг отделов, и превращают обучение сотрудников в постоянную часть работы</w:t>
      </w:r>
      <w:r w:rsidRPr="006012A0">
        <w:rPr>
          <w:rStyle w:val="FootnoteReference"/>
          <w:color w:val="000000" w:themeColor="text1"/>
        </w:rPr>
        <w:footnoteReference w:id="23"/>
      </w:r>
      <w:r w:rsidRPr="006012A0">
        <w:rPr>
          <w:color w:val="000000" w:themeColor="text1"/>
          <w:lang w:val="ru-RU"/>
        </w:rPr>
        <w:t xml:space="preserve">. </w:t>
      </w:r>
      <w:r w:rsidRPr="006012A0">
        <w:rPr>
          <w:color w:val="000000" w:themeColor="text1"/>
        </w:rPr>
        <w:t>McKinsey</w:t>
      </w:r>
      <w:r w:rsidRPr="006012A0">
        <w:rPr>
          <w:color w:val="000000" w:themeColor="text1"/>
          <w:lang w:val="ru-RU"/>
        </w:rPr>
        <w:t xml:space="preserve"> приходит к тому же выводу и отмечает, что компании с наибольшей отдачей от ИИ не добавляют его в существующие процессы, а перестраивают процессы целиком и ставят перед ИИ цели не только по экономии, но и по росту выручки</w:t>
      </w:r>
      <w:r w:rsidRPr="006012A0">
        <w:rPr>
          <w:rStyle w:val="FootnoteReference"/>
          <w:color w:val="000000" w:themeColor="text1"/>
        </w:rPr>
        <w:footnoteReference w:id="24"/>
      </w:r>
      <w:r w:rsidRPr="006012A0">
        <w:rPr>
          <w:color w:val="000000" w:themeColor="text1"/>
          <w:lang w:val="ru-RU"/>
        </w:rPr>
        <w:t xml:space="preserve">. </w:t>
      </w:r>
      <w:r w:rsidRPr="006012A0">
        <w:rPr>
          <w:color w:val="000000" w:themeColor="text1"/>
        </w:rPr>
        <w:t>Bain</w:t>
      </w:r>
      <w:r w:rsidRPr="006012A0">
        <w:rPr>
          <w:color w:val="000000" w:themeColor="text1"/>
          <w:lang w:val="ru-RU"/>
        </w:rPr>
        <w:t xml:space="preserve"> формулирует эту мысль иначе, утверждая, что главным преимуществом становится не доступ к технологии, а скорость, с которой компания способна её освоить</w:t>
      </w:r>
      <w:r w:rsidRPr="006012A0">
        <w:rPr>
          <w:rStyle w:val="FootnoteReference"/>
          <w:color w:val="000000" w:themeColor="text1"/>
        </w:rPr>
        <w:footnoteReference w:id="25"/>
      </w:r>
      <w:r w:rsidRPr="006012A0">
        <w:rPr>
          <w:color w:val="000000" w:themeColor="text1"/>
          <w:lang w:val="ru-RU"/>
        </w:rPr>
        <w:t>.</w:t>
      </w:r>
    </w:p>
    <w:p w14:paraId="39F591E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</w:rPr>
        <w:t>Harvard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Business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Review</w:t>
      </w:r>
      <w:r w:rsidRPr="006012A0">
        <w:rPr>
          <w:color w:val="000000" w:themeColor="text1"/>
          <w:lang w:val="ru-RU"/>
        </w:rPr>
        <w:t xml:space="preserve"> в </w:t>
      </w:r>
      <w:proofErr w:type="spellStart"/>
      <w:r w:rsidRPr="006012A0">
        <w:rPr>
          <w:color w:val="000000" w:themeColor="text1"/>
          <w:lang w:val="ru-RU"/>
        </w:rPr>
        <w:t>сентябрьско</w:t>
      </w:r>
      <w:proofErr w:type="spellEnd"/>
      <w:r w:rsidRPr="006012A0">
        <w:rPr>
          <w:color w:val="000000" w:themeColor="text1"/>
          <w:lang w:val="ru-RU"/>
        </w:rPr>
        <w:t xml:space="preserve">-октябрьском номере предлагает рассматривать трансформацию как процесс обучения, а не как инженерный проект с жёстким планом. На примере сингапурского банка </w:t>
      </w:r>
      <w:r w:rsidRPr="006012A0">
        <w:rPr>
          <w:color w:val="000000" w:themeColor="text1"/>
        </w:rPr>
        <w:t>DBS</w:t>
      </w:r>
      <w:r w:rsidRPr="006012A0">
        <w:rPr>
          <w:color w:val="000000" w:themeColor="text1"/>
          <w:lang w:val="ru-RU"/>
        </w:rPr>
        <w:t xml:space="preserve"> авторы показывают, что успешные преобразования строятся как последовательность волн, в которой выводы из первых пилотных проектов определяют приоритеты следующих</w:t>
      </w:r>
      <w:r w:rsidRPr="006012A0">
        <w:rPr>
          <w:rStyle w:val="FootnoteReference"/>
          <w:color w:val="000000" w:themeColor="text1"/>
        </w:rPr>
        <w:footnoteReference w:id="26"/>
      </w:r>
      <w:r w:rsidRPr="006012A0">
        <w:rPr>
          <w:color w:val="000000" w:themeColor="text1"/>
          <w:lang w:val="ru-RU"/>
        </w:rPr>
        <w:t>. В другой статье номера подчёркивается, что ИИ как технология становится повсеместным, но как способность, встроенная в данные, процессы и скорость исполнения, он остаётся редкостью. Компании, которые покупают ИИ как обычный товар, лишь поднимают планку для всего рынка, не получая собственного преимущества</w:t>
      </w:r>
      <w:r w:rsidRPr="006012A0">
        <w:rPr>
          <w:rStyle w:val="FootnoteReference"/>
          <w:color w:val="000000" w:themeColor="text1"/>
        </w:rPr>
        <w:footnoteReference w:id="27"/>
      </w:r>
      <w:r w:rsidRPr="006012A0">
        <w:rPr>
          <w:color w:val="000000" w:themeColor="text1"/>
          <w:lang w:val="ru-RU"/>
        </w:rPr>
        <w:t xml:space="preserve">. Третья </w:t>
      </w:r>
      <w:r w:rsidRPr="006012A0">
        <w:rPr>
          <w:color w:val="000000" w:themeColor="text1"/>
          <w:lang w:val="ru-RU"/>
        </w:rPr>
        <w:lastRenderedPageBreak/>
        <w:t xml:space="preserve">статья описывает следующий шаг, при котором ИИ-агенты координируют решения между закупками, логистикой, финансами и продажами, однако даже </w:t>
      </w:r>
      <w:r w:rsidRPr="006012A0">
        <w:rPr>
          <w:color w:val="000000" w:themeColor="text1"/>
        </w:rPr>
        <w:t>Walmart</w:t>
      </w:r>
      <w:r w:rsidRPr="006012A0">
        <w:rPr>
          <w:color w:val="000000" w:themeColor="text1"/>
          <w:lang w:val="ru-RU"/>
        </w:rPr>
        <w:t xml:space="preserve"> и </w:t>
      </w:r>
      <w:r w:rsidRPr="006012A0">
        <w:rPr>
          <w:color w:val="000000" w:themeColor="text1"/>
        </w:rPr>
        <w:t>Amazon</w:t>
      </w:r>
      <w:r w:rsidRPr="006012A0">
        <w:rPr>
          <w:color w:val="000000" w:themeColor="text1"/>
          <w:lang w:val="ru-RU"/>
        </w:rPr>
        <w:t xml:space="preserve"> находятся лишь в начале этого пути</w:t>
      </w:r>
      <w:r w:rsidRPr="006012A0">
        <w:rPr>
          <w:rStyle w:val="FootnoteReference"/>
          <w:color w:val="000000" w:themeColor="text1"/>
        </w:rPr>
        <w:footnoteReference w:id="28"/>
      </w:r>
      <w:r w:rsidRPr="006012A0">
        <w:rPr>
          <w:color w:val="000000" w:themeColor="text1"/>
          <w:lang w:val="ru-RU"/>
        </w:rPr>
        <w:t>.</w:t>
      </w:r>
    </w:p>
    <w:p w14:paraId="1CEA239B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Для малого бизнеса эти выводы имеют прямое практическое значение. Небольшой компании проще, чем крупной корпорации, перестроить процесс целиком, поскольку в ней меньше уровней согласования и подразделений, а владелец лично видит весь путь клиента. Именно в этом состоит шанс сократить отставание от крупных игроков, о котором говорилось выше.</w:t>
      </w:r>
    </w:p>
    <w:p w14:paraId="5D64C261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5. Мир. Демографический сдвиг</w:t>
      </w:r>
    </w:p>
    <w:p w14:paraId="7D81F19B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Копенгагенский институт исследований будущего в обзоре </w:t>
      </w:r>
      <w:proofErr w:type="spellStart"/>
      <w:r w:rsidRPr="006012A0">
        <w:rPr>
          <w:color w:val="000000" w:themeColor="text1"/>
          <w:lang w:val="ru-RU"/>
        </w:rPr>
        <w:t>мегатрендов</w:t>
      </w:r>
      <w:proofErr w:type="spellEnd"/>
      <w:r w:rsidRPr="006012A0">
        <w:rPr>
          <w:color w:val="000000" w:themeColor="text1"/>
          <w:lang w:val="ru-RU"/>
        </w:rPr>
        <w:t>, опубликованном в сентябре 2026 года, называет переворот демографической пирамиды одной из фундаментальных сил долгосрочных изменений. Население Земли, по прогнозу, вырастет до 10,3 млрд человек к середине 2080-х годов, однако уже сегодня более четверти человечества живёт в странах, где численность населения прошла свой пик, в том числе в Китае, Германии, Японии и России</w:t>
      </w:r>
      <w:r w:rsidRPr="006012A0">
        <w:rPr>
          <w:rStyle w:val="FootnoteReference"/>
          <w:color w:val="000000" w:themeColor="text1"/>
        </w:rPr>
        <w:footnoteReference w:id="29"/>
      </w:r>
      <w:r w:rsidRPr="006012A0">
        <w:rPr>
          <w:color w:val="000000" w:themeColor="text1"/>
          <w:lang w:val="ru-RU"/>
        </w:rPr>
        <w:t>. Средний мировой показатель рождаемости снизился примерно до 2,3 ребёнка на женщину, что более чем вдвое ниже уровня 1950-х годов</w:t>
      </w:r>
      <w:r w:rsidRPr="006012A0">
        <w:rPr>
          <w:rStyle w:val="FootnoteReference"/>
          <w:color w:val="000000" w:themeColor="text1"/>
        </w:rPr>
        <w:footnoteReference w:id="30"/>
      </w:r>
      <w:r w:rsidRPr="006012A0">
        <w:rPr>
          <w:color w:val="000000" w:themeColor="text1"/>
          <w:lang w:val="ru-RU"/>
        </w:rPr>
        <w:t>.</w:t>
      </w:r>
    </w:p>
    <w:p w14:paraId="7D1EB68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Последствия этого сдвига различны для разных стран. Стареющие экономики сталкиваются с нехваткой рабочей силы и вкладывают средства в автоматизацию и ИИ, чтобы компенсировать сокращение числа работников. Страны с молодым населением решают обратную задачу и ищут способы обеспечить продуктивной занятостью быстро растущее число молодых людей. По оценке авторов, если это удаётся, страна получает демографический дивиденд, а если нет, растут безработица, неформальная занятость и давление на миграцию. Число международных мигрантов в мире в 2024 году достигло 304 млн человек, что почти вдвое больше, чем в 1990 году</w:t>
      </w:r>
      <w:r w:rsidRPr="006012A0">
        <w:rPr>
          <w:rStyle w:val="FootnoteReference"/>
          <w:color w:val="000000" w:themeColor="text1"/>
        </w:rPr>
        <w:footnoteReference w:id="31"/>
      </w:r>
      <w:r w:rsidRPr="006012A0">
        <w:rPr>
          <w:color w:val="000000" w:themeColor="text1"/>
          <w:lang w:val="ru-RU"/>
        </w:rPr>
        <w:t>.</w:t>
      </w:r>
    </w:p>
    <w:p w14:paraId="1E4C3B9F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Демография напрямую связана с ИИ. Авторы обзора описывают два возможных сценария. В первом конкуренция за молодых работников становится предметом торга между государствами, во втором автоматизация и ИИ заменяют значительную часть рабочих мест, и дефицит рабочей силы оказывается не таким острым, как ожидалось</w:t>
      </w:r>
      <w:r w:rsidRPr="006012A0">
        <w:rPr>
          <w:rStyle w:val="FootnoteReference"/>
          <w:color w:val="000000" w:themeColor="text1"/>
        </w:rPr>
        <w:footnoteReference w:id="32"/>
      </w:r>
      <w:r w:rsidRPr="006012A0">
        <w:rPr>
          <w:color w:val="000000" w:themeColor="text1"/>
          <w:lang w:val="ru-RU"/>
        </w:rPr>
        <w:t>. Для страны с молодым населением, такой как Узбекистан, оба сценария означают, что главным условием роста становятся навыки и производительность молодых работников.</w:t>
      </w:r>
    </w:p>
    <w:p w14:paraId="6D98049F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6. Регион. Центральная Азия и Россия</w:t>
      </w:r>
    </w:p>
    <w:p w14:paraId="7BF63B0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На фоне замедления мировой экономики, рост которой Всемирный банк ожидает в 2026 году на уровне 2,5%</w:t>
      </w:r>
      <w:r w:rsidRPr="006012A0">
        <w:rPr>
          <w:rStyle w:val="FootnoteReference"/>
          <w:color w:val="000000" w:themeColor="text1"/>
        </w:rPr>
        <w:footnoteReference w:id="33"/>
      </w:r>
      <w:r w:rsidRPr="006012A0">
        <w:rPr>
          <w:color w:val="000000" w:themeColor="text1"/>
          <w:lang w:val="ru-RU"/>
        </w:rPr>
        <w:t>, Центральная Азия остаётся одним из самых динамичных регионов. ЕБРР в сентябрьском докладе прогнозирует рост экономик Центральной Азии и Монголии на 5,8% в 2026 году и на 5,3% в 2027 году. Главными внешними рисками банк называет ослабление спроса в России и Китае и высокие цены на энергоносители</w:t>
      </w:r>
      <w:r w:rsidRPr="006012A0">
        <w:rPr>
          <w:rStyle w:val="FootnoteReference"/>
          <w:color w:val="000000" w:themeColor="text1"/>
        </w:rPr>
        <w:footnoteReference w:id="34"/>
      </w:r>
      <w:r w:rsidRPr="006012A0">
        <w:rPr>
          <w:color w:val="000000" w:themeColor="text1"/>
          <w:lang w:val="ru-RU"/>
        </w:rPr>
        <w:t>.</w:t>
      </w:r>
    </w:p>
    <w:p w14:paraId="304256ED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lastRenderedPageBreak/>
        <w:t xml:space="preserve">Внедрение ИИ в регионе идёт неравномерно. Исследование </w:t>
      </w:r>
      <w:r w:rsidRPr="006012A0">
        <w:rPr>
          <w:color w:val="000000" w:themeColor="text1"/>
        </w:rPr>
        <w:t>KPMG</w:t>
      </w:r>
      <w:r w:rsidRPr="006012A0">
        <w:rPr>
          <w:color w:val="000000" w:themeColor="text1"/>
          <w:lang w:val="ru-RU"/>
        </w:rPr>
        <w:t>, охватившее крупные компании Кавказа и Центральной Азии, показало, что 53% из них используют ИИ в рабочих процессах с измеримым эффектом, тогда как в среднем по миру этот показатель составляет 24%</w:t>
      </w:r>
      <w:r w:rsidRPr="006012A0">
        <w:rPr>
          <w:rStyle w:val="FootnoteReference"/>
          <w:color w:val="000000" w:themeColor="text1"/>
        </w:rPr>
        <w:footnoteReference w:id="35"/>
      </w:r>
      <w:r w:rsidRPr="006012A0">
        <w:rPr>
          <w:color w:val="000000" w:themeColor="text1"/>
          <w:lang w:val="ru-RU"/>
        </w:rPr>
        <w:t>. Однако официальная статистика Казахстана рисует иную картину для экономики в целом, так как по итогам 2025 года ИИ применяли лишь 3,4% из 152 тысяч отчитавшихся предприятий</w:t>
      </w:r>
      <w:r w:rsidRPr="006012A0">
        <w:rPr>
          <w:rStyle w:val="FootnoteReference"/>
          <w:color w:val="000000" w:themeColor="text1"/>
        </w:rPr>
        <w:footnoteReference w:id="36"/>
      </w:r>
      <w:r w:rsidRPr="006012A0">
        <w:rPr>
          <w:color w:val="000000" w:themeColor="text1"/>
          <w:lang w:val="ru-RU"/>
        </w:rPr>
        <w:t>. Сопоставление этих цифр показывает, что крупные компании региона уже активно осваивают ИИ, а малый и средний бизнес находится в самом начале пути. Для предпринимателей Узбекистана это одновременно предупреждение и окно возможностей, поскольку первые компании, освоившие ИИ в своей нише, получают заметное преимущество.</w:t>
      </w:r>
    </w:p>
    <w:p w14:paraId="7C0D998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Российский рынок, тесно связанный с узбекским через торговлю, миграцию и цифровые платформы, демонстрирует схожую динамику. По оценке «Яков и партнёры», объём российского рынка корпоративных ИИ-агентов и ассистентов в 2026 году составит около 30 млрд рублей, но полноценных готовых ИИ-агентов на нём пока нет</w:t>
      </w:r>
      <w:r w:rsidRPr="006012A0">
        <w:rPr>
          <w:rStyle w:val="FootnoteReference"/>
          <w:color w:val="000000" w:themeColor="text1"/>
        </w:rPr>
        <w:footnoteReference w:id="37"/>
      </w:r>
      <w:r w:rsidRPr="006012A0">
        <w:rPr>
          <w:color w:val="000000" w:themeColor="text1"/>
          <w:lang w:val="ru-RU"/>
        </w:rPr>
        <w:t>. Лучшие примеры созданы крупными компаниями самостоятельно, а не куплены у поставщиков</w:t>
      </w:r>
      <w:r w:rsidRPr="006012A0">
        <w:rPr>
          <w:rStyle w:val="FootnoteReference"/>
          <w:color w:val="000000" w:themeColor="text1"/>
        </w:rPr>
        <w:footnoteReference w:id="38"/>
      </w:r>
      <w:r w:rsidRPr="006012A0">
        <w:rPr>
          <w:color w:val="000000" w:themeColor="text1"/>
          <w:lang w:val="ru-RU"/>
        </w:rPr>
        <w:t>. В июле 2026 года в России принят закон о поддержке развития технологий ИИ, основные положения которого вступают в силу поэтапно начиная с 1 сентября 2026 года, а нормы о маркировке с 1 марта 2027 года</w:t>
      </w:r>
      <w:r w:rsidRPr="006012A0">
        <w:rPr>
          <w:rStyle w:val="FootnoteReference"/>
          <w:color w:val="000000" w:themeColor="text1"/>
        </w:rPr>
        <w:footnoteReference w:id="39"/>
      </w:r>
      <w:r w:rsidRPr="006012A0">
        <w:rPr>
          <w:color w:val="000000" w:themeColor="text1"/>
          <w:lang w:val="ru-RU"/>
        </w:rPr>
        <w:t>. Предпринимателям, работающим с российскими партнёрами и платформами, стоит учитывать, что требования к используемым моделям и ИИ-контенту в соседних странах будут ужесточаться.</w:t>
      </w:r>
    </w:p>
    <w:p w14:paraId="30C81C0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Региональный рынок труда тоже меняется. По данным Агентства по вопросам миграции, приведённым в обзоре Центрального банка Узбекистана, за рубежом работают около 1,4 млн граждан Узбекистана почти в 40 странах, из них около 834 тысяч в России. При этом численность трудовых мигрантов в странах СНГ сократилась на 29%, а в Европе выросла на 42%</w:t>
      </w:r>
      <w:r w:rsidRPr="006012A0">
        <w:rPr>
          <w:rStyle w:val="FootnoteReference"/>
          <w:color w:val="000000" w:themeColor="text1"/>
        </w:rPr>
        <w:footnoteReference w:id="40"/>
      </w:r>
      <w:r w:rsidRPr="006012A0">
        <w:rPr>
          <w:color w:val="000000" w:themeColor="text1"/>
          <w:lang w:val="ru-RU"/>
        </w:rPr>
        <w:t>. География трудовой миграции постепенно смещается в сторону более высокооплачиваемых рынков, и это меняет структуру доходов домохозяйств, получающих переводы.</w:t>
      </w:r>
    </w:p>
    <w:p w14:paraId="07E6EFF7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7. Узбекистан. Экономика быстрого роста и дорогих денег</w:t>
      </w:r>
    </w:p>
    <w:p w14:paraId="4190808A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Экономика Узбекистана в 2026 году растёт быстрее, чем ожидалось. По данным Национального комитета по статистике, в первом полугодии ВВП увеличился на 8,5% и составил 1 072,7 трлн сумов</w:t>
      </w:r>
      <w:r w:rsidRPr="006012A0">
        <w:rPr>
          <w:rStyle w:val="FootnoteReference"/>
          <w:color w:val="000000" w:themeColor="text1"/>
        </w:rPr>
        <w:footnoteReference w:id="41"/>
      </w:r>
      <w:r w:rsidRPr="006012A0">
        <w:rPr>
          <w:color w:val="000000" w:themeColor="text1"/>
          <w:lang w:val="ru-RU"/>
        </w:rPr>
        <w:t>. По итогам 2025 года рост составил 7,7%</w:t>
      </w:r>
      <w:r w:rsidRPr="006012A0">
        <w:rPr>
          <w:rStyle w:val="FootnoteReference"/>
          <w:color w:val="000000" w:themeColor="text1"/>
        </w:rPr>
        <w:footnoteReference w:id="42"/>
      </w:r>
      <w:r w:rsidRPr="006012A0">
        <w:rPr>
          <w:color w:val="000000" w:themeColor="text1"/>
          <w:lang w:val="ru-RU"/>
        </w:rPr>
        <w:t xml:space="preserve">. Все крупные международные организации в течение лета повысили прогнозы на 2026 год. Всемирный банк </w:t>
      </w:r>
      <w:r w:rsidRPr="006012A0">
        <w:rPr>
          <w:color w:val="000000" w:themeColor="text1"/>
          <w:lang w:val="ru-RU"/>
        </w:rPr>
        <w:lastRenderedPageBreak/>
        <w:t>ожидает роста на 6,4%</w:t>
      </w:r>
      <w:r w:rsidRPr="006012A0">
        <w:rPr>
          <w:rStyle w:val="FootnoteReference"/>
          <w:color w:val="000000" w:themeColor="text1"/>
        </w:rPr>
        <w:footnoteReference w:id="43"/>
      </w:r>
      <w:r w:rsidRPr="006012A0">
        <w:rPr>
          <w:color w:val="000000" w:themeColor="text1"/>
          <w:lang w:val="ru-RU"/>
        </w:rPr>
        <w:t>, МВФ около 6,8%</w:t>
      </w:r>
      <w:r w:rsidRPr="006012A0">
        <w:rPr>
          <w:rStyle w:val="FootnoteReference"/>
          <w:color w:val="000000" w:themeColor="text1"/>
        </w:rPr>
        <w:footnoteReference w:id="44"/>
      </w:r>
      <w:r w:rsidRPr="006012A0">
        <w:rPr>
          <w:color w:val="000000" w:themeColor="text1"/>
          <w:lang w:val="ru-RU"/>
        </w:rPr>
        <w:t>, Азиатский банк развития 7,0%</w:t>
      </w:r>
      <w:r w:rsidRPr="006012A0">
        <w:rPr>
          <w:rStyle w:val="FootnoteReference"/>
          <w:color w:val="000000" w:themeColor="text1"/>
        </w:rPr>
        <w:footnoteReference w:id="45"/>
      </w:r>
      <w:r w:rsidRPr="006012A0">
        <w:rPr>
          <w:color w:val="000000" w:themeColor="text1"/>
          <w:lang w:val="ru-RU"/>
        </w:rPr>
        <w:t>, ЕБРР 7,5%</w:t>
      </w:r>
      <w:r w:rsidRPr="006012A0">
        <w:rPr>
          <w:rStyle w:val="FootnoteReference"/>
          <w:color w:val="000000" w:themeColor="text1"/>
        </w:rPr>
        <w:footnoteReference w:id="46"/>
      </w:r>
      <w:r w:rsidRPr="006012A0">
        <w:rPr>
          <w:color w:val="000000" w:themeColor="text1"/>
          <w:lang w:val="ru-RU"/>
        </w:rPr>
        <w:t>, Евразийский банк развития 7,9%</w:t>
      </w:r>
      <w:r w:rsidRPr="006012A0">
        <w:rPr>
          <w:rStyle w:val="FootnoteReference"/>
          <w:color w:val="000000" w:themeColor="text1"/>
        </w:rPr>
        <w:footnoteReference w:id="47"/>
      </w:r>
      <w:r w:rsidRPr="006012A0">
        <w:rPr>
          <w:color w:val="000000" w:themeColor="text1"/>
          <w:lang w:val="ru-RU"/>
        </w:rPr>
        <w:t>, а правительство повысило собственный прогноз до 8,1%</w:t>
      </w:r>
      <w:r w:rsidRPr="006012A0">
        <w:rPr>
          <w:rStyle w:val="FootnoteReference"/>
          <w:color w:val="000000" w:themeColor="text1"/>
        </w:rPr>
        <w:footnoteReference w:id="48"/>
      </w:r>
      <w:r w:rsidRPr="006012A0">
        <w:rPr>
          <w:color w:val="000000" w:themeColor="text1"/>
          <w:lang w:val="ru-RU"/>
        </w:rPr>
        <w:t>. Различия во многом объясняются датой публикации, поскольку оценки, сделанные после выхода данных за полугодие, находятся в диапазоне 7–8%.</w:t>
      </w:r>
    </w:p>
    <w:p w14:paraId="5FA0159B" w14:textId="77777777" w:rsidR="007E068B" w:rsidRPr="006012A0" w:rsidRDefault="00000000">
      <w:pPr>
        <w:keepNext/>
        <w:spacing w:before="160" w:after="60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b/>
          <w:bCs/>
          <w:color w:val="000000" w:themeColor="text1"/>
          <w:sz w:val="19"/>
          <w:szCs w:val="19"/>
          <w:lang w:val="ru-RU"/>
        </w:rPr>
        <w:t xml:space="preserve">Рисунок 2. Прогнозы роста ВВП Узбекистана на 2026 год и фактический рост в </w:t>
      </w:r>
      <w:r w:rsidRPr="006012A0">
        <w:rPr>
          <w:rFonts w:ascii="Arial" w:eastAsia="Arial" w:hAnsi="Arial" w:cs="Arial"/>
          <w:b/>
          <w:bCs/>
          <w:color w:val="000000" w:themeColor="text1"/>
          <w:sz w:val="19"/>
          <w:szCs w:val="19"/>
        </w:rPr>
        <w:t>I</w:t>
      </w:r>
      <w:r w:rsidRPr="006012A0">
        <w:rPr>
          <w:rFonts w:ascii="Arial" w:eastAsia="Arial" w:hAnsi="Arial" w:cs="Arial"/>
          <w:b/>
          <w:bCs/>
          <w:color w:val="000000" w:themeColor="text1"/>
          <w:sz w:val="19"/>
          <w:szCs w:val="19"/>
          <w:lang w:val="ru-RU"/>
        </w:rPr>
        <w:t xml:space="preserve"> полугодии 2026 года, %</w:t>
      </w:r>
    </w:p>
    <w:p w14:paraId="1B69D598" w14:textId="77777777" w:rsidR="007E068B" w:rsidRPr="006012A0" w:rsidRDefault="00000000">
      <w:pPr>
        <w:keepNext/>
        <w:spacing w:after="40"/>
        <w:jc w:val="center"/>
        <w:rPr>
          <w:color w:val="000000" w:themeColor="text1"/>
        </w:rPr>
      </w:pPr>
      <w:r w:rsidRPr="006012A0">
        <w:rPr>
          <w:noProof/>
          <w:color w:val="000000" w:themeColor="text1"/>
        </w:rPr>
        <w:drawing>
          <wp:inline distT="0" distB="0" distL="0" distR="0" wp14:anchorId="3D848465" wp14:editId="1FD7F19F">
            <wp:extent cx="5715000" cy="2695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EC7A" w14:textId="77777777" w:rsidR="007E068B" w:rsidRPr="006012A0" w:rsidRDefault="00000000">
      <w:pPr>
        <w:spacing w:after="200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  <w:lang w:val="ru-RU"/>
        </w:rPr>
        <w:t>Источник — Всемирный банк, МВФ, АБР, ЕБРР, ЕАБР, Министерство экономики и финансов, Национальный комитет по статистике Республики Узбекистан.</w:t>
      </w:r>
    </w:p>
    <w:p w14:paraId="5103F05E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Высокий рост сопровождается жёсткой денежно-кредитной политикой. 16 сентября 2026 года Центральный банк сохранил основную ставку на уровне 14% годовых, при этом годовая инфляция в августе составила 6,2%, а базовая инфляция 5,5%</w:t>
      </w:r>
      <w:r w:rsidRPr="006012A0">
        <w:rPr>
          <w:rStyle w:val="FootnoteReference"/>
          <w:color w:val="000000" w:themeColor="text1"/>
        </w:rPr>
        <w:footnoteReference w:id="49"/>
      </w:r>
      <w:r w:rsidRPr="006012A0">
        <w:rPr>
          <w:color w:val="000000" w:themeColor="text1"/>
          <w:lang w:val="ru-RU"/>
        </w:rPr>
        <w:t>. АБР прогнозирует инфляцию по итогам 2026 года на уровне 6,7%</w:t>
      </w:r>
      <w:r w:rsidRPr="006012A0">
        <w:rPr>
          <w:rStyle w:val="FootnoteReference"/>
          <w:color w:val="000000" w:themeColor="text1"/>
        </w:rPr>
        <w:footnoteReference w:id="50"/>
      </w:r>
      <w:r w:rsidRPr="006012A0">
        <w:rPr>
          <w:color w:val="000000" w:themeColor="text1"/>
          <w:lang w:val="ru-RU"/>
        </w:rPr>
        <w:t>. Разница между ставкой и инфляцией остаётся значительной, поэтому кредиты для малого бизнеса будут дорогими как минимум до конца года, даже если регулятор начнёт постепенно снижать ставку.</w:t>
      </w:r>
    </w:p>
    <w:p w14:paraId="1F291D24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Малый бизнес играет в экономике страны ключевую роль. По данным статистики, в 2025 году на него пришлось 52,2% ВВП, а в первом полугодии 2026 года 50,5% ВВП</w:t>
      </w:r>
      <w:r w:rsidRPr="006012A0">
        <w:rPr>
          <w:rStyle w:val="FootnoteReference"/>
          <w:color w:val="000000" w:themeColor="text1"/>
        </w:rPr>
        <w:footnoteReference w:id="51"/>
      </w:r>
      <w:r w:rsidRPr="006012A0">
        <w:rPr>
          <w:color w:val="000000" w:themeColor="text1"/>
          <w:lang w:val="ru-RU"/>
        </w:rPr>
        <w:t>. Доля малого бизнеса в общей занятости в 2025 году составила 74,9%</w:t>
      </w:r>
      <w:r w:rsidRPr="006012A0">
        <w:rPr>
          <w:rStyle w:val="FootnoteReference"/>
          <w:color w:val="000000" w:themeColor="text1"/>
        </w:rPr>
        <w:footnoteReference w:id="52"/>
      </w:r>
      <w:r w:rsidRPr="006012A0">
        <w:rPr>
          <w:color w:val="000000" w:themeColor="text1"/>
          <w:lang w:val="ru-RU"/>
        </w:rPr>
        <w:t xml:space="preserve">. Сопоставление этих цифр указывает на главную структурную проблему сектора. Малый бизнес обеспечивает работой три четверти занятых, но создаёт лишь около половины добавленной стоимости, а значит, производительность труда в нём существенно ниже, чем в крупных компаниях. Поэтому </w:t>
      </w:r>
      <w:r w:rsidRPr="006012A0">
        <w:rPr>
          <w:color w:val="000000" w:themeColor="text1"/>
          <w:lang w:val="ru-RU"/>
        </w:rPr>
        <w:lastRenderedPageBreak/>
        <w:t>инструменты повышения производительности, включая ИИ и цифровизацию процессов, для малого бизнеса Узбекистана особенно важны.</w:t>
      </w:r>
    </w:p>
    <w:p w14:paraId="074FC380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Дополнительным фактором изменений станет вступление во Всемирную торговую организацию. На заседании рабочей группы ВТО 27–28 июля 2026 года Узбекистан подтвердил цель завершить присоединение в 2026 году, а с марта было приведено в соответствие с нормами ВТО около 190 законодательных актов</w:t>
      </w:r>
      <w:r w:rsidRPr="006012A0">
        <w:rPr>
          <w:rStyle w:val="FootnoteReference"/>
          <w:color w:val="000000" w:themeColor="text1"/>
        </w:rPr>
        <w:footnoteReference w:id="53"/>
      </w:r>
      <w:r w:rsidRPr="006012A0">
        <w:rPr>
          <w:color w:val="000000" w:themeColor="text1"/>
          <w:lang w:val="ru-RU"/>
        </w:rPr>
        <w:t>. Для малого бизнеса это означает, с одной стороны, более открытую конкуренцию с импортом, а с другой стороны, более предсказуемые правила и новые возможности для экспорта.</w:t>
      </w:r>
    </w:p>
    <w:p w14:paraId="1A0BBBAD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8. Узбекистан. Демография, миграция и потребитель</w:t>
      </w:r>
    </w:p>
    <w:p w14:paraId="4F2B9BD6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Предварительные итоги переписи населения стали одной из главных новостей квартала. На 15 января 2026 года в стране проживал 39 047 321 человек, что на 810 617 человек, или на 2,1%, больше прежних оценок. Горожане составляют 54,5% населения. В трудоспособном возрасте находятся 21,7 млн человек, а 12,5 млн человек, то есть почти треть населения, моложе трудоспособного возраста</w:t>
      </w:r>
      <w:r w:rsidRPr="006012A0">
        <w:rPr>
          <w:rStyle w:val="FootnoteReference"/>
          <w:color w:val="000000" w:themeColor="text1"/>
        </w:rPr>
        <w:footnoteReference w:id="54"/>
      </w:r>
      <w:r w:rsidRPr="006012A0">
        <w:rPr>
          <w:color w:val="000000" w:themeColor="text1"/>
          <w:lang w:val="ru-RU"/>
        </w:rPr>
        <w:t>.</w:t>
      </w:r>
    </w:p>
    <w:p w14:paraId="57063F3A" w14:textId="77777777" w:rsidR="007E068B" w:rsidRPr="006012A0" w:rsidRDefault="00000000">
      <w:pPr>
        <w:keepNext/>
        <w:spacing w:before="160" w:after="60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b/>
          <w:bCs/>
          <w:color w:val="000000" w:themeColor="text1"/>
          <w:sz w:val="19"/>
          <w:szCs w:val="19"/>
          <w:lang w:val="ru-RU"/>
        </w:rPr>
        <w:t>Рисунок 3. Возрастная структура населения Узбекистана по предварительным итогам переписи 2026 года, млн человек</w:t>
      </w:r>
    </w:p>
    <w:p w14:paraId="25B46FC9" w14:textId="77777777" w:rsidR="007E068B" w:rsidRPr="006012A0" w:rsidRDefault="00000000">
      <w:pPr>
        <w:keepNext/>
        <w:spacing w:after="40"/>
        <w:jc w:val="center"/>
        <w:rPr>
          <w:color w:val="000000" w:themeColor="text1"/>
        </w:rPr>
      </w:pPr>
      <w:r w:rsidRPr="006012A0">
        <w:rPr>
          <w:noProof/>
          <w:color w:val="000000" w:themeColor="text1"/>
        </w:rPr>
        <w:drawing>
          <wp:inline distT="0" distB="0" distL="0" distR="0" wp14:anchorId="3A5D112B" wp14:editId="1F685F23">
            <wp:extent cx="5715000" cy="190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3216" w14:textId="77777777" w:rsidR="007E068B" w:rsidRPr="006012A0" w:rsidRDefault="00000000">
      <w:pPr>
        <w:spacing w:after="200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  <w:lang w:val="ru-RU"/>
        </w:rPr>
        <w:t>Источник — предварительные итоги переписи населения 2026 года. Численность населения старше трудоспособного возраста рассчитана как разница между общей численностью и двумя другими группами.</w:t>
      </w:r>
    </w:p>
    <w:p w14:paraId="785B3514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Такая структура означает, что в ближайшие десятилетия Узбекистан останется одной из самых молодых стран региона, в отличие от стареющих России и Китая. Ежегодно на рынок труда выходят около 600 тысяч молодых людей, а к 2030 году, по оценке руководства страны, это число может приблизиться к миллиону</w:t>
      </w:r>
      <w:r w:rsidRPr="006012A0">
        <w:rPr>
          <w:rStyle w:val="FootnoteReference"/>
          <w:color w:val="000000" w:themeColor="text1"/>
        </w:rPr>
        <w:footnoteReference w:id="55"/>
      </w:r>
      <w:r w:rsidRPr="006012A0">
        <w:rPr>
          <w:color w:val="000000" w:themeColor="text1"/>
          <w:lang w:val="ru-RU"/>
        </w:rPr>
        <w:t xml:space="preserve">. Для малого бизнеса это означает доступ к большому числу молодых работников и одновременно необходимость их обучать, поскольку, как показывают данные </w:t>
      </w:r>
      <w:r w:rsidRPr="006012A0">
        <w:rPr>
          <w:color w:val="000000" w:themeColor="text1"/>
        </w:rPr>
        <w:t>PwC</w:t>
      </w:r>
      <w:r w:rsidRPr="006012A0">
        <w:rPr>
          <w:color w:val="000000" w:themeColor="text1"/>
          <w:lang w:val="ru-RU"/>
        </w:rPr>
        <w:t xml:space="preserve"> и </w:t>
      </w:r>
      <w:r w:rsidRPr="006012A0">
        <w:rPr>
          <w:color w:val="000000" w:themeColor="text1"/>
        </w:rPr>
        <w:t>MIT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Technology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Review</w:t>
      </w:r>
      <w:r w:rsidRPr="006012A0">
        <w:rPr>
          <w:color w:val="000000" w:themeColor="text1"/>
          <w:lang w:val="ru-RU"/>
        </w:rPr>
        <w:t>, даже начальные позиции всё чаще требуют навыков работы с ИИ, самостоятельности и умения общаться с клиентами.</w:t>
      </w:r>
    </w:p>
    <w:p w14:paraId="5E103E38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Важнейшим источником потребительского спроса остаются денежные переводы. В первом полугодии 2026 года они достигли 9,3 млрд долларов и выросли на 13% по сравнению с тем же периодом прошлого года. Более половины этой суммы, а именно 51,7%, или 4,8 млрд долларов, поступило в виде прямых переводов на банковские карты, объём которых увеличился </w:t>
      </w:r>
      <w:r w:rsidRPr="006012A0">
        <w:rPr>
          <w:color w:val="000000" w:themeColor="text1"/>
          <w:lang w:val="ru-RU"/>
        </w:rPr>
        <w:lastRenderedPageBreak/>
        <w:t>на 32%</w:t>
      </w:r>
      <w:r w:rsidRPr="006012A0">
        <w:rPr>
          <w:rStyle w:val="FootnoteReference"/>
          <w:color w:val="000000" w:themeColor="text1"/>
        </w:rPr>
        <w:footnoteReference w:id="56"/>
      </w:r>
      <w:r w:rsidRPr="006012A0">
        <w:rPr>
          <w:color w:val="000000" w:themeColor="text1"/>
          <w:lang w:val="ru-RU"/>
        </w:rPr>
        <w:t>. По итогам 2025 года переводы составили 18,9 млрд долларов при росте на 27,2%</w:t>
      </w:r>
      <w:r w:rsidRPr="006012A0">
        <w:rPr>
          <w:rStyle w:val="FootnoteReference"/>
          <w:color w:val="000000" w:themeColor="text1"/>
        </w:rPr>
        <w:footnoteReference w:id="57"/>
      </w:r>
      <w:r w:rsidRPr="006012A0">
        <w:rPr>
          <w:color w:val="000000" w:themeColor="text1"/>
          <w:lang w:val="ru-RU"/>
        </w:rPr>
        <w:t>. Замедление темпов роста с 27 до 13% и смещение миграции из России в Европу и Восточную Азию говорят о том, что этот источник спроса остаётся значительным, но рассчитывать на сохранение его прежней динамики уже рискованно.</w:t>
      </w:r>
    </w:p>
    <w:p w14:paraId="302FD13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Из демографических данных складывается портрет потребителя, под которого малому бизнесу стоит выстраивать свои продукты. Это молодая семья с детьми, которая живёт в городе, пользуется смартфоном и банковской картой и всё чаще получает часть дохода из-за рубежа в цифровом виде. Спрос таких семей сосредоточен на жилье и строительных материалах, образовании, детских товарах, медицинских услугах и товарах длительного пользования, а привычка к цифровым платежам делает для них естественными онлайн-заказ и оплату по </w:t>
      </w:r>
      <w:r w:rsidRPr="006012A0">
        <w:rPr>
          <w:color w:val="000000" w:themeColor="text1"/>
        </w:rPr>
        <w:t>QR</w:t>
      </w:r>
      <w:r w:rsidRPr="006012A0">
        <w:rPr>
          <w:color w:val="000000" w:themeColor="text1"/>
          <w:lang w:val="ru-RU"/>
        </w:rPr>
        <w:t>-коду.</w:t>
      </w:r>
    </w:p>
    <w:p w14:paraId="357A3A3F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9. Узбекистан. Государственная повестка в области ИИ и цифровизации</w:t>
      </w:r>
    </w:p>
    <w:p w14:paraId="2D1941C1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Государство рассматривает искусственный интеллект как приоритет развития. Указом Президента № УП-141 от 24 июля 2026 года поручено обновить Стратегию «Цифровой Узбекистан — 2030» и Стратегию развития технологий ИИ до 2030 года и согласовать их между собой. Одна из поставленных целей предусматривает, что к 2030 году число участников инициативы «Пять миллионов лидеров в области ИИ» достигнет 5 млн человек</w:t>
      </w:r>
      <w:r w:rsidRPr="006012A0">
        <w:rPr>
          <w:rStyle w:val="FootnoteReference"/>
          <w:color w:val="000000" w:themeColor="text1"/>
        </w:rPr>
        <w:footnoteReference w:id="58"/>
      </w:r>
      <w:r w:rsidRPr="006012A0">
        <w:rPr>
          <w:color w:val="000000" w:themeColor="text1"/>
          <w:lang w:val="ru-RU"/>
        </w:rPr>
        <w:t>.</w:t>
      </w:r>
    </w:p>
    <w:p w14:paraId="3CFC4BCD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Быстро растёт и экспорт цифровых услуг. Резиденты </w:t>
      </w:r>
      <w:r w:rsidRPr="006012A0">
        <w:rPr>
          <w:color w:val="000000" w:themeColor="text1"/>
        </w:rPr>
        <w:t>IT</w:t>
      </w:r>
      <w:r w:rsidRPr="006012A0">
        <w:rPr>
          <w:color w:val="000000" w:themeColor="text1"/>
          <w:lang w:val="ru-RU"/>
        </w:rPr>
        <w:t xml:space="preserve"> </w:t>
      </w:r>
      <w:r w:rsidRPr="006012A0">
        <w:rPr>
          <w:color w:val="000000" w:themeColor="text1"/>
        </w:rPr>
        <w:t>Park</w:t>
      </w:r>
      <w:r w:rsidRPr="006012A0">
        <w:rPr>
          <w:color w:val="000000" w:themeColor="text1"/>
          <w:lang w:val="ru-RU"/>
        </w:rPr>
        <w:t xml:space="preserve"> в январе–июне 2026 года экспортировали услуг на 392,5 млн долларов, что на 90,3 млн долларов, или на 29,9%, больше, чем годом ранее</w:t>
      </w:r>
      <w:r w:rsidRPr="006012A0">
        <w:rPr>
          <w:rStyle w:val="FootnoteReference"/>
          <w:color w:val="000000" w:themeColor="text1"/>
        </w:rPr>
        <w:footnoteReference w:id="59"/>
      </w:r>
      <w:r w:rsidRPr="006012A0">
        <w:rPr>
          <w:color w:val="000000" w:themeColor="text1"/>
          <w:lang w:val="ru-RU"/>
        </w:rPr>
        <w:t>. Для предпринимателей это означает расширение рынка местных ИТ-подрядчиков, способных недорого внедрить ИИ-решения на узбекском и русском языках, а также возможность самим выходить на внешние рынки с услугами.</w:t>
      </w:r>
    </w:p>
    <w:p w14:paraId="79970258" w14:textId="24D9129C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1</w:t>
      </w:r>
      <w:r w:rsidR="006012A0" w:rsidRPr="006012A0">
        <w:rPr>
          <w:color w:val="000000" w:themeColor="text1"/>
          <w:lang w:val="ru-RU"/>
        </w:rPr>
        <w:t>0</w:t>
      </w:r>
      <w:r w:rsidRPr="006012A0">
        <w:rPr>
          <w:color w:val="000000" w:themeColor="text1"/>
          <w:lang w:val="ru-RU"/>
        </w:rPr>
        <w:t>. Рекомендации предпринимателям на ближайшие 6–12 месяцев</w:t>
      </w:r>
    </w:p>
    <w:p w14:paraId="3141DE2F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Выберите один или два процесса, в которых ИИ даст измеримый результат, и перестройте их целиком. Хорошими кандидатами для малого бизнеса являются ответы клиентам в мессенджерах и социальных сетях, подготовка коммерческих предложений, обработка счетов и первичных документов, а также прогнозирование закупок и остатков. До начала внедрения зафиксируйте исходные показатели, например время ответа клиенту, долю ошибок или стоимость обработки заказа, чтобы через три месяца честно оценить эффект.</w:t>
      </w:r>
    </w:p>
    <w:p w14:paraId="46F5806C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Проверяйте, что именно вы покупаете. Слово «агент» в описании продукта не гарантирует, что программа сможет самостоятельно выполнять процесс, и нередко речь идёт об ассистенте, который лишь ускоряет работу сотрудника. Аналитики «Яков и партнёры» советуют внедрять ИИ-агента только при трёх условиях. Данные процесса должны быть доступны в цифровом виде, у процесса должен быть повторяемый сценарий с понятным показателем и ответственным сотрудником, а руководитель должен быть готов выделить бюджет и ждать результата от 12 до 18 месяцев</w:t>
      </w:r>
      <w:r w:rsidRPr="006012A0">
        <w:rPr>
          <w:rStyle w:val="FootnoteReference"/>
          <w:color w:val="000000" w:themeColor="text1"/>
        </w:rPr>
        <w:footnoteReference w:id="60"/>
      </w:r>
      <w:r w:rsidRPr="006012A0">
        <w:rPr>
          <w:color w:val="000000" w:themeColor="text1"/>
          <w:lang w:val="ru-RU"/>
        </w:rPr>
        <w:t>. Если хотя бы одно условие не выполнено, разумнее сначала навести порядок в данных и процессах.</w:t>
      </w:r>
    </w:p>
    <w:p w14:paraId="534C96C9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lastRenderedPageBreak/>
        <w:t>Считайте расходы на ИИ с первого дня. Используйте инструменты с оплатой по факту использования, установите месячный лимит расходов и раз в квартал сравнивайте затраты с полученным эффектом. Опыт крупных компаний показывает, что именно неясная окупаемость и высокая стоимость внедрения чаще всего мешают получить отдачу от ИИ.</w:t>
      </w:r>
    </w:p>
    <w:p w14:paraId="3C4177E8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Решите заранее, на что будет направлено сэкономленное время. Если ИИ освобождает сотруднику несколько часов в неделю, определите, будет ли это время использовано для работы с клиентами, продаж, повышения качества или развития новых продуктов. Исследование </w:t>
      </w:r>
      <w:r w:rsidRPr="006012A0">
        <w:rPr>
          <w:color w:val="000000" w:themeColor="text1"/>
        </w:rPr>
        <w:t>BCG</w:t>
      </w:r>
      <w:r w:rsidRPr="006012A0">
        <w:rPr>
          <w:color w:val="000000" w:themeColor="text1"/>
          <w:lang w:val="ru-RU"/>
        </w:rPr>
        <w:t xml:space="preserve"> показывает, что без такого решения экономия времени не превращается в рост бизнеса.</w:t>
      </w:r>
    </w:p>
    <w:p w14:paraId="36A1E5C9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Вкладывайтесь в навыки, а не только в технологии. Обучайте сотрудников, особенно молодых, работе с ИИ-инструментами, проверке полученных результатов и общению с клиентами, а также используйте возможности государственных программ, включая инициативу «Пять миллионов лидеров в области ИИ». Надбавка к заработной плате за навыки работы с ИИ на мировом рынке уже превышает 60%, поэтому обученный сотрудник становится конкурентным преимуществом, а его удержание превращается в отдельную задачу.</w:t>
      </w:r>
    </w:p>
    <w:p w14:paraId="1DD0D0BD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 xml:space="preserve">Подготовьте свою витрину к покупателю, который действует через ИИ-агента. Поддерживайте в актуальном состоянии цены, остатки, описания и характеристики товаров на маркетплейсах и в собственных каналах продаж, поскольку в ближайшие годы часть покупок будут подбирать и оформлять ИИ-агенты. Принимайте оплату картами, по </w:t>
      </w:r>
      <w:r w:rsidRPr="006012A0">
        <w:rPr>
          <w:color w:val="000000" w:themeColor="text1"/>
        </w:rPr>
        <w:t>QR</w:t>
      </w:r>
      <w:r w:rsidRPr="006012A0">
        <w:rPr>
          <w:color w:val="000000" w:themeColor="text1"/>
          <w:lang w:val="ru-RU"/>
        </w:rPr>
        <w:t>-коду и через популярные мобильные приложения, так как молодой городской покупатель рассчитывает именно на такие способы оплаты.</w:t>
      </w:r>
    </w:p>
    <w:p w14:paraId="6EE4A39F" w14:textId="77777777" w:rsidR="007E068B" w:rsidRPr="006012A0" w:rsidRDefault="00000000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Стройте предложение вокруг молодой городской семьи. Товары и услуги для детей, образование, ремонт и строительство, медицина, бытовая техника и доставка остаются направлениями с устойчивым спросом, который поддерживается ростом населения и денежными переводами. Вместе с тем закладывайте в планы сценарий более медленного роста переводов, поскольку их темпы в 2026 году уже снизились.</w:t>
      </w:r>
    </w:p>
    <w:p w14:paraId="44DF3879" w14:textId="77777777" w:rsidR="007E068B" w:rsidRPr="006012A0" w:rsidRDefault="00000000">
      <w:pPr>
        <w:pStyle w:val="Heading1"/>
        <w:keepNext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12. Заключение</w:t>
      </w:r>
    </w:p>
    <w:p w14:paraId="428652F9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Третий квартал 2026 года показал, что предприниматели Узбекистана работают в редком сочетании условий. Экономика растёт быстрее большинства стран мира, население увеличивается и остаётся молодым, а государство активно поддерживает цифровизацию и развитие ИИ. Одновременно деньги остаются дорогими, конкуренция после вступления в ВТО усилится, а мировые исследования ясно показывают, что сама по себе покупка ИИ-инструментов не даёт преимущества.</w:t>
      </w:r>
    </w:p>
    <w:p w14:paraId="3629EC34" w14:textId="77777777" w:rsidR="007E068B" w:rsidRPr="006012A0" w:rsidRDefault="00000000">
      <w:pPr>
        <w:spacing w:after="100" w:line="264" w:lineRule="auto"/>
        <w:ind w:firstLine="567"/>
        <w:jc w:val="both"/>
        <w:rPr>
          <w:color w:val="000000" w:themeColor="text1"/>
          <w:lang w:val="ru-RU"/>
        </w:rPr>
      </w:pPr>
      <w:r w:rsidRPr="006012A0">
        <w:rPr>
          <w:color w:val="000000" w:themeColor="text1"/>
          <w:lang w:val="ru-RU"/>
        </w:rPr>
        <w:t>Главный вывод квартала состоит в том, что выигрывать будут не те, кто первым купит новую технологию, а те, кто быстрее перестроит под неё работу, обучит людей и сохранит контроль над затратами и рисками. Малый бизнес обладает в этом отношении естественным преимуществом, а именно гибкостью и короткой дистанцией между решением и его исполнением. Использовать это преимущество в ближайшие 6–12 месяцев становится главной задачей для предпринимателей, которые хотят не только пережить период перемен, но и вырасти благодаря им.</w:t>
      </w:r>
    </w:p>
    <w:p w14:paraId="01576741" w14:textId="36ABB6CD" w:rsidR="007E068B" w:rsidRPr="006012A0" w:rsidRDefault="00000000">
      <w:pPr>
        <w:pBdr>
          <w:top w:val="single" w:sz="4" w:space="6" w:color="BFBFBF"/>
        </w:pBdr>
        <w:spacing w:before="360"/>
        <w:jc w:val="both"/>
        <w:rPr>
          <w:color w:val="000000" w:themeColor="text1"/>
          <w:lang w:val="ru-RU"/>
        </w:rPr>
      </w:pPr>
      <w:r w:rsidRPr="006012A0">
        <w:rPr>
          <w:rFonts w:ascii="Arial" w:eastAsia="Arial" w:hAnsi="Arial" w:cs="Arial"/>
          <w:i/>
          <w:iCs/>
          <w:color w:val="000000" w:themeColor="text1"/>
          <w:sz w:val="16"/>
          <w:szCs w:val="16"/>
          <w:lang w:val="ru-RU"/>
        </w:rPr>
        <w:t>Обзор носит информационный характер и не является инвестиционной, юридической или финансовой рекомендацией. Прогнозы международных организаций могут пересматриваться по мере поступления новых данных.</w:t>
      </w:r>
    </w:p>
    <w:sectPr w:rsidR="007E068B" w:rsidRPr="006012A0">
      <w:headerReference w:type="default" r:id="rId10"/>
      <w:footerReference w:type="default" r:id="rId11"/>
      <w:pgSz w:w="11906" w:h="16838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AA7E3" w14:textId="77777777" w:rsidR="00192CFE" w:rsidRDefault="00192CFE">
      <w:r>
        <w:separator/>
      </w:r>
    </w:p>
  </w:endnote>
  <w:endnote w:type="continuationSeparator" w:id="0">
    <w:p w14:paraId="36BC2F36" w14:textId="77777777" w:rsidR="00192CFE" w:rsidRDefault="00192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6052" w14:textId="77777777" w:rsidR="007E068B" w:rsidRDefault="00000000">
    <w:pPr>
      <w:jc w:val="center"/>
    </w:pPr>
    <w:r>
      <w:rPr>
        <w:rFonts w:ascii="Arial" w:eastAsia="Arial" w:hAnsi="Arial" w:cs="Arial"/>
        <w:color w:val="8C8C8C"/>
        <w:sz w:val="18"/>
        <w:szCs w:val="18"/>
      </w:rPr>
      <w:fldChar w:fldCharType="begin"/>
    </w:r>
    <w:r>
      <w:rPr>
        <w:rFonts w:ascii="Arial" w:eastAsia="Arial" w:hAnsi="Arial" w:cs="Arial"/>
        <w:color w:val="8C8C8C"/>
        <w:sz w:val="18"/>
        <w:szCs w:val="18"/>
      </w:rPr>
      <w:instrText>PAGE</w:instrText>
    </w:r>
    <w:r>
      <w:rPr>
        <w:rFonts w:ascii="Arial" w:eastAsia="Arial" w:hAnsi="Arial" w:cs="Arial"/>
        <w:color w:val="8C8C8C"/>
        <w:sz w:val="18"/>
        <w:szCs w:val="18"/>
      </w:rPr>
      <w:fldChar w:fldCharType="separate"/>
    </w:r>
    <w:r w:rsidR="009D201A">
      <w:rPr>
        <w:rFonts w:ascii="Arial" w:eastAsia="Arial" w:hAnsi="Arial" w:cs="Arial"/>
        <w:noProof/>
        <w:color w:val="8C8C8C"/>
        <w:sz w:val="18"/>
        <w:szCs w:val="18"/>
      </w:rPr>
      <w:t>1</w:t>
    </w:r>
    <w:r>
      <w:rPr>
        <w:rFonts w:ascii="Arial" w:eastAsia="Arial" w:hAnsi="Arial" w:cs="Arial"/>
        <w:color w:val="8C8C8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922E3" w14:textId="77777777" w:rsidR="00192CFE" w:rsidRDefault="00192CFE">
      <w:r>
        <w:separator/>
      </w:r>
    </w:p>
  </w:footnote>
  <w:footnote w:type="continuationSeparator" w:id="0">
    <w:p w14:paraId="55C4C110" w14:textId="77777777" w:rsidR="00192CFE" w:rsidRDefault="00192CFE">
      <w:r>
        <w:continuationSeparator/>
      </w:r>
    </w:p>
  </w:footnote>
  <w:footnote w:id="1">
    <w:p w14:paraId="49C23149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McKinsey &amp; Company. The state of AI in 2026. On the road to ROI. 25 </w:t>
      </w:r>
      <w:proofErr w:type="spellStart"/>
      <w:r>
        <w:rPr>
          <w:sz w:val="17"/>
          <w:szCs w:val="17"/>
        </w:rPr>
        <w:t>августа</w:t>
      </w:r>
      <w:proofErr w:type="spellEnd"/>
      <w:r>
        <w:rPr>
          <w:sz w:val="17"/>
          <w:szCs w:val="17"/>
        </w:rPr>
        <w:t xml:space="preserve"> 2026 г. https://www.mckinsey.com/capabilities/quantumblack/our-insights/the-state-of-ai</w:t>
      </w:r>
    </w:p>
  </w:footnote>
  <w:footnote w:id="2">
    <w:p w14:paraId="39E9AA51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</w:t>
      </w:r>
    </w:p>
  </w:footnote>
  <w:footnote w:id="3">
    <w:p w14:paraId="5437B560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Национальный комитет Республики Узбекистан по статистике. Валовой внутренний продукт Узбекистана вырос на 8,5%. 31 июля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stat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press</w:t>
      </w:r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center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of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committee</w:t>
      </w:r>
      <w:r w:rsidRPr="009D201A">
        <w:rPr>
          <w:sz w:val="17"/>
          <w:szCs w:val="17"/>
          <w:lang w:val="ru-RU"/>
        </w:rPr>
        <w:t>/69577-</w:t>
      </w:r>
      <w:proofErr w:type="spellStart"/>
      <w:r>
        <w:rPr>
          <w:sz w:val="17"/>
          <w:szCs w:val="17"/>
        </w:rPr>
        <w:t>zbekiston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yalpi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ichki</w:t>
      </w:r>
      <w:proofErr w:type="spellEnd"/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ma</w:t>
      </w:r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suloti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azhmi</w:t>
      </w:r>
      <w:proofErr w:type="spellEnd"/>
      <w:r w:rsidRPr="009D201A">
        <w:rPr>
          <w:sz w:val="17"/>
          <w:szCs w:val="17"/>
          <w:lang w:val="ru-RU"/>
        </w:rPr>
        <w:t>-8-5-</w:t>
      </w:r>
      <w:proofErr w:type="spellStart"/>
      <w:r>
        <w:rPr>
          <w:sz w:val="17"/>
          <w:szCs w:val="17"/>
        </w:rPr>
        <w:t>foizga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sdi</w:t>
      </w:r>
      <w:proofErr w:type="spellEnd"/>
      <w:r w:rsidRPr="009D201A">
        <w:rPr>
          <w:sz w:val="17"/>
          <w:szCs w:val="17"/>
          <w:lang w:val="ru-RU"/>
        </w:rPr>
        <w:t>-4</w:t>
      </w:r>
    </w:p>
  </w:footnote>
  <w:footnote w:id="4">
    <w:p w14:paraId="7835F671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Центральный банк Республики Узбекистан. Пресс-релиз о решении Правления по основной ставке от 16 сентября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cbu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monetary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policy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publications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press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releases</w:t>
      </w:r>
      <w:r w:rsidRPr="009D201A">
        <w:rPr>
          <w:sz w:val="17"/>
          <w:szCs w:val="17"/>
          <w:lang w:val="ru-RU"/>
        </w:rPr>
        <w:t>/4540138/</w:t>
      </w:r>
    </w:p>
  </w:footnote>
  <w:footnote w:id="5">
    <w:p w14:paraId="493C53B2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Uzbekistan’s population exceeds 39 million people — preliminary census results // Gazeta.uz. 30 </w:t>
      </w:r>
      <w:proofErr w:type="spellStart"/>
      <w:r>
        <w:rPr>
          <w:sz w:val="17"/>
          <w:szCs w:val="17"/>
        </w:rPr>
        <w:t>июня</w:t>
      </w:r>
      <w:proofErr w:type="spellEnd"/>
      <w:r>
        <w:rPr>
          <w:sz w:val="17"/>
          <w:szCs w:val="17"/>
        </w:rPr>
        <w:t xml:space="preserve"> 2026 г. https://www.gazeta.uz/en/2026/06/30/population-uzbekistan/</w:t>
      </w:r>
    </w:p>
  </w:footnote>
  <w:footnote w:id="6">
    <w:p w14:paraId="2A63BD3D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Центральный банк Республики Узбекистан. Аналитический обзор валютных операций физических лиц за </w:t>
      </w:r>
      <w:r>
        <w:rPr>
          <w:sz w:val="17"/>
          <w:szCs w:val="17"/>
        </w:rPr>
        <w:t>I</w:t>
      </w:r>
      <w:r w:rsidRPr="009D201A">
        <w:rPr>
          <w:sz w:val="17"/>
          <w:szCs w:val="17"/>
          <w:lang w:val="ru-RU"/>
        </w:rPr>
        <w:t xml:space="preserve"> полугодие 2026 г. 14 августа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cbu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press</w:t>
      </w:r>
      <w:r w:rsidRPr="009D201A">
        <w:rPr>
          <w:sz w:val="17"/>
          <w:szCs w:val="17"/>
          <w:lang w:val="ru-RU"/>
        </w:rPr>
        <w:t>_</w:t>
      </w:r>
      <w:proofErr w:type="spellStart"/>
      <w:r>
        <w:rPr>
          <w:sz w:val="17"/>
          <w:szCs w:val="17"/>
        </w:rPr>
        <w:t>center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releases</w:t>
      </w:r>
      <w:r w:rsidRPr="009D201A">
        <w:rPr>
          <w:sz w:val="17"/>
          <w:szCs w:val="17"/>
          <w:lang w:val="ru-RU"/>
        </w:rPr>
        <w:t>/4359624/</w:t>
      </w:r>
    </w:p>
  </w:footnote>
  <w:footnote w:id="7">
    <w:p w14:paraId="4F5FA460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McKinsey &amp; Company. The state of AI in 2026.</w:t>
      </w:r>
    </w:p>
  </w:footnote>
  <w:footnote w:id="8">
    <w:p w14:paraId="2331E133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Boston Consulting Group. AI at Work 2026. Why Strategy Matters More Than Tools. </w:t>
      </w:r>
      <w:r w:rsidRPr="009D201A">
        <w:rPr>
          <w:sz w:val="17"/>
          <w:szCs w:val="17"/>
          <w:lang w:val="ru-RU"/>
        </w:rPr>
        <w:t xml:space="preserve">2 июня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bcg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publications</w:t>
      </w:r>
      <w:r w:rsidRPr="009D201A">
        <w:rPr>
          <w:sz w:val="17"/>
          <w:szCs w:val="17"/>
          <w:lang w:val="ru-RU"/>
        </w:rPr>
        <w:t>/2026/</w:t>
      </w:r>
      <w:r>
        <w:rPr>
          <w:sz w:val="17"/>
          <w:szCs w:val="17"/>
        </w:rPr>
        <w:t>ai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at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work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why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strategy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matters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more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than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tools</w:t>
      </w:r>
    </w:p>
  </w:footnote>
  <w:footnote w:id="9">
    <w:p w14:paraId="4B9931B3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KPMG International. Transforming the Enterprise 2026. Reframing how enterprises execute, scale and sustain change. </w:t>
      </w:r>
      <w:r w:rsidRPr="009D201A">
        <w:rPr>
          <w:sz w:val="17"/>
          <w:szCs w:val="17"/>
          <w:lang w:val="ru-RU"/>
        </w:rPr>
        <w:t xml:space="preserve">Июнь 2026 г. С. 6.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assets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kpmg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content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dam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kpmgsites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xx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pdf</w:t>
      </w:r>
      <w:r w:rsidRPr="009D201A">
        <w:rPr>
          <w:sz w:val="17"/>
          <w:szCs w:val="17"/>
          <w:lang w:val="ru-RU"/>
        </w:rPr>
        <w:t>/2026/06/</w:t>
      </w:r>
      <w:r>
        <w:rPr>
          <w:sz w:val="17"/>
          <w:szCs w:val="17"/>
        </w:rPr>
        <w:t>transforming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the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enterprise</w:t>
      </w:r>
      <w:r w:rsidRPr="009D201A">
        <w:rPr>
          <w:sz w:val="17"/>
          <w:szCs w:val="17"/>
          <w:lang w:val="ru-RU"/>
        </w:rPr>
        <w:t>-2026.</w:t>
      </w:r>
      <w:r>
        <w:rPr>
          <w:sz w:val="17"/>
          <w:szCs w:val="17"/>
        </w:rPr>
        <w:t>pdf</w:t>
      </w:r>
    </w:p>
  </w:footnote>
  <w:footnote w:id="10">
    <w:p w14:paraId="4F148781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С. 27.</w:t>
      </w:r>
    </w:p>
  </w:footnote>
  <w:footnote w:id="11">
    <w:p w14:paraId="619F33C8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С. 29.</w:t>
      </w:r>
    </w:p>
  </w:footnote>
  <w:footnote w:id="12">
    <w:p w14:paraId="33926A48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Болотских М., Дорохова М., Кобелев С. ИИ-агенты — где хайп, а где реальность. Москва, «Яков и партнёры», 2026. С. 6.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yakovpartners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ru</w:t>
      </w:r>
      <w:proofErr w:type="spellEnd"/>
      <w:r w:rsidRPr="009D201A">
        <w:rPr>
          <w:sz w:val="17"/>
          <w:szCs w:val="17"/>
          <w:lang w:val="ru-RU"/>
        </w:rPr>
        <w:t>/</w:t>
      </w:r>
    </w:p>
  </w:footnote>
  <w:footnote w:id="13">
    <w:p w14:paraId="130411D8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</w:t>
      </w:r>
      <w:r>
        <w:rPr>
          <w:sz w:val="17"/>
          <w:szCs w:val="17"/>
        </w:rPr>
        <w:t>С. 15.</w:t>
      </w:r>
    </w:p>
  </w:footnote>
  <w:footnote w:id="14">
    <w:p w14:paraId="1E2D3C19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McKinsey &amp; Company. The state of AI in 2026.</w:t>
      </w:r>
    </w:p>
  </w:footnote>
  <w:footnote w:id="15">
    <w:p w14:paraId="48676080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KPMG US. AI Quarterly Pulse Survey, Q2 2026. AI Investment and Agent Deployment Hold Steady Amid Growing Focus on Pragmatism. </w:t>
      </w:r>
      <w:r w:rsidRPr="009D201A">
        <w:rPr>
          <w:sz w:val="17"/>
          <w:szCs w:val="17"/>
          <w:lang w:val="ru-RU"/>
        </w:rPr>
        <w:t xml:space="preserve">24 июня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kpmg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us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media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q</w:t>
      </w:r>
      <w:r w:rsidRPr="009D201A">
        <w:rPr>
          <w:sz w:val="17"/>
          <w:szCs w:val="17"/>
          <w:lang w:val="ru-RU"/>
        </w:rPr>
        <w:t>2-</w:t>
      </w:r>
      <w:r>
        <w:rPr>
          <w:sz w:val="17"/>
          <w:szCs w:val="17"/>
        </w:rPr>
        <w:t>ai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pulse</w:t>
      </w:r>
      <w:r w:rsidRPr="009D201A">
        <w:rPr>
          <w:sz w:val="17"/>
          <w:szCs w:val="17"/>
          <w:lang w:val="ru-RU"/>
        </w:rPr>
        <w:t>-2026.</w:t>
      </w:r>
      <w:r>
        <w:rPr>
          <w:sz w:val="17"/>
          <w:szCs w:val="17"/>
        </w:rPr>
        <w:t>html</w:t>
      </w:r>
    </w:p>
  </w:footnote>
  <w:footnote w:id="16">
    <w:p w14:paraId="40EDEB09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Bain &amp; Company. Technology Report 2026. Cybersecurity’s New AI Imperative. </w:t>
      </w:r>
      <w:r w:rsidRPr="009D201A">
        <w:rPr>
          <w:sz w:val="17"/>
          <w:szCs w:val="17"/>
          <w:lang w:val="ru-RU"/>
        </w:rPr>
        <w:t xml:space="preserve">29 сентября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bain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insights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cybersecuritys</w:t>
      </w:r>
      <w:proofErr w:type="spellEnd"/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new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ai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imperative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attacking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the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backlog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of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vulnerability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alerts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technology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report</w:t>
      </w:r>
      <w:r w:rsidRPr="009D201A">
        <w:rPr>
          <w:sz w:val="17"/>
          <w:szCs w:val="17"/>
          <w:lang w:val="ru-RU"/>
        </w:rPr>
        <w:t>-2026/</w:t>
      </w:r>
    </w:p>
  </w:footnote>
  <w:footnote w:id="17">
    <w:p w14:paraId="025E9EA0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PwC. 2026 Global AI Jobs Barometer. </w:t>
      </w:r>
      <w:r w:rsidRPr="009D201A">
        <w:rPr>
          <w:sz w:val="17"/>
          <w:szCs w:val="17"/>
          <w:lang w:val="ru-RU"/>
        </w:rPr>
        <w:t xml:space="preserve">Пресс-релиз от 15 июня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pwc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gx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room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press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releases</w:t>
      </w:r>
      <w:r w:rsidRPr="009D201A">
        <w:rPr>
          <w:sz w:val="17"/>
          <w:szCs w:val="17"/>
          <w:lang w:val="ru-RU"/>
        </w:rPr>
        <w:t>/2026/</w:t>
      </w:r>
      <w:proofErr w:type="spellStart"/>
      <w:r>
        <w:rPr>
          <w:sz w:val="17"/>
          <w:szCs w:val="17"/>
        </w:rPr>
        <w:t>pwc</w:t>
      </w:r>
      <w:proofErr w:type="spellEnd"/>
      <w:r w:rsidRPr="009D201A">
        <w:rPr>
          <w:sz w:val="17"/>
          <w:szCs w:val="17"/>
          <w:lang w:val="ru-RU"/>
        </w:rPr>
        <w:t>-2026-</w:t>
      </w:r>
      <w:r>
        <w:rPr>
          <w:sz w:val="17"/>
          <w:szCs w:val="17"/>
        </w:rPr>
        <w:t>ai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jobs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barometer</w:t>
      </w:r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html</w:t>
      </w:r>
    </w:p>
  </w:footnote>
  <w:footnote w:id="18">
    <w:p w14:paraId="02F81840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Rotman</w:t>
      </w:r>
      <w:proofErr w:type="spellEnd"/>
      <w:r>
        <w:rPr>
          <w:sz w:val="17"/>
          <w:szCs w:val="17"/>
        </w:rPr>
        <w:t xml:space="preserve"> D. The youth job-</w:t>
      </w:r>
      <w:proofErr w:type="spellStart"/>
      <w:r>
        <w:rPr>
          <w:sz w:val="17"/>
          <w:szCs w:val="17"/>
        </w:rPr>
        <w:t>pocalypse</w:t>
      </w:r>
      <w:proofErr w:type="spellEnd"/>
      <w:r>
        <w:rPr>
          <w:sz w:val="17"/>
          <w:szCs w:val="17"/>
        </w:rPr>
        <w:t>? // MIT Technology Review. 2026. September–October. P. 14. https://www.technologyreview.com/</w:t>
      </w:r>
    </w:p>
  </w:footnote>
  <w:footnote w:id="19">
    <w:p w14:paraId="02C7049B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Copenhagen Institute for Futures Studies. Megatrends. The foundations of long-term change. </w:t>
      </w:r>
      <w:proofErr w:type="spellStart"/>
      <w:r>
        <w:rPr>
          <w:sz w:val="17"/>
          <w:szCs w:val="17"/>
        </w:rPr>
        <w:t>Сентябрь</w:t>
      </w:r>
      <w:proofErr w:type="spellEnd"/>
      <w:r>
        <w:rPr>
          <w:sz w:val="17"/>
          <w:szCs w:val="17"/>
        </w:rPr>
        <w:t xml:space="preserve"> 2026 г. С. 81. https://cifs.dk/</w:t>
      </w:r>
    </w:p>
  </w:footnote>
  <w:footnote w:id="20">
    <w:p w14:paraId="28085F02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McKinsey &amp; Company. The 2026 McKinsey Global Payments Report. Operational excellence in an invisible world. </w:t>
      </w:r>
      <w:r w:rsidRPr="009D201A">
        <w:rPr>
          <w:sz w:val="17"/>
          <w:szCs w:val="17"/>
          <w:lang w:val="ru-RU"/>
        </w:rPr>
        <w:t xml:space="preserve">Сентябрь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mckinsey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industries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financial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services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our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insights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global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payments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report</w:t>
      </w:r>
    </w:p>
  </w:footnote>
  <w:footnote w:id="21">
    <w:p w14:paraId="509D765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KPMG International. Transforming the Enterprise 2026. С. 6.</w:t>
      </w:r>
    </w:p>
  </w:footnote>
  <w:footnote w:id="22">
    <w:p w14:paraId="43D1A7AB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Там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же</w:t>
      </w:r>
      <w:proofErr w:type="spellEnd"/>
      <w:r>
        <w:rPr>
          <w:sz w:val="17"/>
          <w:szCs w:val="17"/>
        </w:rPr>
        <w:t>. С. 34.</w:t>
      </w:r>
    </w:p>
  </w:footnote>
  <w:footnote w:id="23">
    <w:p w14:paraId="5D1A3093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Там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же</w:t>
      </w:r>
      <w:proofErr w:type="spellEnd"/>
      <w:r>
        <w:rPr>
          <w:sz w:val="17"/>
          <w:szCs w:val="17"/>
        </w:rPr>
        <w:t>. С. 49.</w:t>
      </w:r>
    </w:p>
  </w:footnote>
  <w:footnote w:id="24">
    <w:p w14:paraId="50C64EFE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McKinsey &amp; Company. The state of AI in 2026.</w:t>
      </w:r>
    </w:p>
  </w:footnote>
  <w:footnote w:id="25">
    <w:p w14:paraId="62D14D13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Bain &amp; Company. Technology Report 2026. The AI-Native Enterprise. Absorption Is the New Advantage. 29 </w:t>
      </w:r>
      <w:proofErr w:type="spellStart"/>
      <w:r>
        <w:rPr>
          <w:sz w:val="17"/>
          <w:szCs w:val="17"/>
        </w:rPr>
        <w:t>сентября</w:t>
      </w:r>
      <w:proofErr w:type="spellEnd"/>
      <w:r>
        <w:rPr>
          <w:sz w:val="17"/>
          <w:szCs w:val="17"/>
        </w:rPr>
        <w:t xml:space="preserve"> 2026 г. https://www.bain.com/insights/the-ai-native-enterprise-absorption-is-the-new-advantage-technology-report-2026/</w:t>
      </w:r>
    </w:p>
  </w:footnote>
  <w:footnote w:id="26">
    <w:p w14:paraId="1286B3D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Kaganer</w:t>
      </w:r>
      <w:proofErr w:type="spellEnd"/>
      <w:r>
        <w:rPr>
          <w:sz w:val="17"/>
          <w:szCs w:val="17"/>
        </w:rPr>
        <w:t xml:space="preserve"> E., Loch C. Transformation Should Be a Learning Journey // Harvard Business Review. 2026. September–October. P. 54–63. https://store.hbr.org/product/transformation-should-be-a-learning-journey/R2605C</w:t>
      </w:r>
    </w:p>
  </w:footnote>
  <w:footnote w:id="27">
    <w:p w14:paraId="54ADDBBA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Csaszar</w:t>
      </w:r>
      <w:proofErr w:type="spellEnd"/>
      <w:r>
        <w:rPr>
          <w:sz w:val="17"/>
          <w:szCs w:val="17"/>
        </w:rPr>
        <w:t xml:space="preserve"> F. A. AI Is Revolutionizing Strategic Decision-Making // Harvard Business Review. 2026. September–October. P. 44–53. С. 53. https://hbr.org/</w:t>
      </w:r>
    </w:p>
  </w:footnote>
  <w:footnote w:id="28">
    <w:p w14:paraId="2CD3573F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Ferreira K. J., Tong J. How AI Agents Orchestrate Work Across Silos // Harvard Business Review. 2026. September–October. P. 76–85. https://hbr.org/</w:t>
      </w:r>
    </w:p>
  </w:footnote>
  <w:footnote w:id="29">
    <w:p w14:paraId="42C6DC36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Copenhagen Institute for Futures Studies. Megatrends. </w:t>
      </w:r>
      <w:r w:rsidRPr="009D201A">
        <w:rPr>
          <w:sz w:val="17"/>
          <w:szCs w:val="17"/>
          <w:lang w:val="ru-RU"/>
        </w:rPr>
        <w:t>С. 37–38.</w:t>
      </w:r>
    </w:p>
  </w:footnote>
  <w:footnote w:id="30">
    <w:p w14:paraId="61FAD2AA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С. 39.</w:t>
      </w:r>
    </w:p>
  </w:footnote>
  <w:footnote w:id="31">
    <w:p w14:paraId="6E70B5CC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</w:t>
      </w:r>
      <w:r>
        <w:rPr>
          <w:sz w:val="17"/>
          <w:szCs w:val="17"/>
        </w:rPr>
        <w:t>С. 41.</w:t>
      </w:r>
    </w:p>
  </w:footnote>
  <w:footnote w:id="32">
    <w:p w14:paraId="74FB3E7B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Там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же</w:t>
      </w:r>
      <w:proofErr w:type="spellEnd"/>
      <w:r>
        <w:rPr>
          <w:sz w:val="17"/>
          <w:szCs w:val="17"/>
        </w:rPr>
        <w:t>. С. 42.</w:t>
      </w:r>
    </w:p>
  </w:footnote>
  <w:footnote w:id="33">
    <w:p w14:paraId="6598D9C3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World Bank. Global Economic Prospects, June 2026. https://www.worldbank.org/en/publication/global-economic-prospects</w:t>
      </w:r>
    </w:p>
  </w:footnote>
  <w:footnote w:id="34">
    <w:p w14:paraId="33E6E907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EBRD. Central Asia and Mongolia growth to remain robust. Regional Economic Prospects. 24 </w:t>
      </w:r>
      <w:proofErr w:type="spellStart"/>
      <w:r>
        <w:rPr>
          <w:sz w:val="17"/>
          <w:szCs w:val="17"/>
        </w:rPr>
        <w:t>сентября</w:t>
      </w:r>
      <w:proofErr w:type="spellEnd"/>
      <w:r>
        <w:rPr>
          <w:sz w:val="17"/>
          <w:szCs w:val="17"/>
        </w:rPr>
        <w:t xml:space="preserve"> 2026 г. https://www.ebrd.com/home/news-and-events/news/2026/central-asia-and-mongolia-growth-to-remain-robust.html</w:t>
      </w:r>
    </w:p>
  </w:footnote>
  <w:footnote w:id="35">
    <w:p w14:paraId="3C868D8E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KPMG Caucasus and Central Asia. Tech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Report</w:t>
      </w:r>
      <w:r w:rsidRPr="009D201A">
        <w:rPr>
          <w:sz w:val="17"/>
          <w:szCs w:val="17"/>
          <w:lang w:val="ru-RU"/>
        </w:rPr>
        <w:t xml:space="preserve"> 2026. Пресс-релиз от 25 июня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kpmg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com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kz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media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press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releases</w:t>
      </w:r>
      <w:r w:rsidRPr="009D201A">
        <w:rPr>
          <w:sz w:val="17"/>
          <w:szCs w:val="17"/>
          <w:lang w:val="ru-RU"/>
        </w:rPr>
        <w:t>/2026/05/</w:t>
      </w:r>
      <w:r>
        <w:rPr>
          <w:sz w:val="17"/>
          <w:szCs w:val="17"/>
        </w:rPr>
        <w:t>tech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report</w:t>
      </w:r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html</w:t>
      </w:r>
    </w:p>
  </w:footnote>
  <w:footnote w:id="36">
    <w:p w14:paraId="10F15C87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Как казахстанский бизнес внедряет искусственный интеллект // </w:t>
      </w:r>
      <w:r>
        <w:rPr>
          <w:sz w:val="17"/>
          <w:szCs w:val="17"/>
        </w:rPr>
        <w:t>Kapital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kz</w:t>
      </w:r>
      <w:proofErr w:type="spellEnd"/>
      <w:r w:rsidRPr="009D201A">
        <w:rPr>
          <w:sz w:val="17"/>
          <w:szCs w:val="17"/>
          <w:lang w:val="ru-RU"/>
        </w:rPr>
        <w:t xml:space="preserve">. 28 июля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kapital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kz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tehnology</w:t>
      </w:r>
      <w:proofErr w:type="spellEnd"/>
      <w:r w:rsidRPr="009D201A">
        <w:rPr>
          <w:sz w:val="17"/>
          <w:szCs w:val="17"/>
          <w:lang w:val="ru-RU"/>
        </w:rPr>
        <w:t>/150961/</w:t>
      </w:r>
      <w:proofErr w:type="spellStart"/>
      <w:r>
        <w:rPr>
          <w:sz w:val="17"/>
          <w:szCs w:val="17"/>
        </w:rPr>
        <w:t>kak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kazahstanskij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biznes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vnedryaet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iskusstvennyj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intellekt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html</w:t>
      </w:r>
    </w:p>
  </w:footnote>
  <w:footnote w:id="37">
    <w:p w14:paraId="167755A7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«Яков и партнёры» — на российском ИТ-рынке пока нет полноценных ИИ-агентов // Коммерсантъ. 30 июля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kommersant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ru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doc</w:t>
      </w:r>
      <w:r w:rsidRPr="009D201A">
        <w:rPr>
          <w:sz w:val="17"/>
          <w:szCs w:val="17"/>
          <w:lang w:val="ru-RU"/>
        </w:rPr>
        <w:t>/8848078</w:t>
      </w:r>
    </w:p>
  </w:footnote>
  <w:footnote w:id="38">
    <w:p w14:paraId="7B1D9A64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Болотских М., Дорохова М., Кобелев С. ИИ-агенты — где хайп, а где реальность. С. 6.</w:t>
      </w:r>
    </w:p>
  </w:footnote>
  <w:footnote w:id="39">
    <w:p w14:paraId="39B8ED68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Там же. С. 8.</w:t>
      </w:r>
    </w:p>
  </w:footnote>
  <w:footnote w:id="40">
    <w:p w14:paraId="06788B0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Around</w:t>
      </w:r>
      <w:r w:rsidRPr="009D201A">
        <w:rPr>
          <w:sz w:val="17"/>
          <w:szCs w:val="17"/>
          <w:lang w:val="ru-RU"/>
        </w:rPr>
        <w:t xml:space="preserve"> 1.4 </w:t>
      </w:r>
      <w:r>
        <w:rPr>
          <w:sz w:val="17"/>
          <w:szCs w:val="17"/>
        </w:rPr>
        <w:t>million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citizens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of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Uzbekistan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work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abroad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as</w:t>
      </w:r>
      <w:r w:rsidRPr="009D201A">
        <w:rPr>
          <w:sz w:val="17"/>
          <w:szCs w:val="17"/>
          <w:lang w:val="ru-RU"/>
        </w:rPr>
        <w:t xml:space="preserve"> </w:t>
      </w:r>
      <w:proofErr w:type="spellStart"/>
      <w:r>
        <w:rPr>
          <w:sz w:val="17"/>
          <w:szCs w:val="17"/>
        </w:rPr>
        <w:t>labor</w:t>
      </w:r>
      <w:proofErr w:type="spellEnd"/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migration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patterns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shift</w:t>
      </w:r>
      <w:r w:rsidRPr="009D201A">
        <w:rPr>
          <w:sz w:val="17"/>
          <w:szCs w:val="17"/>
          <w:lang w:val="ru-RU"/>
        </w:rPr>
        <w:t xml:space="preserve"> // </w:t>
      </w:r>
      <w:r>
        <w:rPr>
          <w:sz w:val="17"/>
          <w:szCs w:val="17"/>
        </w:rPr>
        <w:t>Gazeta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 xml:space="preserve">. 18 августа 2026 г. (по данным обзора Центрального банка Республики Узбекистан от 14 августа 2026 г.). </w:t>
      </w:r>
      <w:r>
        <w:rPr>
          <w:sz w:val="17"/>
          <w:szCs w:val="17"/>
        </w:rPr>
        <w:t>https://www.gazeta.uz/en/2026/08/18/migration/</w:t>
      </w:r>
    </w:p>
  </w:footnote>
  <w:footnote w:id="41">
    <w:p w14:paraId="597A094B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Национальный комитет Республики Узбекистан по статистике. Рост ВВП в </w:t>
      </w:r>
      <w:r>
        <w:rPr>
          <w:sz w:val="17"/>
          <w:szCs w:val="17"/>
        </w:rPr>
        <w:t>I</w:t>
      </w:r>
      <w:r w:rsidRPr="009D201A">
        <w:rPr>
          <w:sz w:val="17"/>
          <w:szCs w:val="17"/>
          <w:lang w:val="ru-RU"/>
        </w:rPr>
        <w:t xml:space="preserve"> полугодии 2026 г.</w:t>
      </w:r>
    </w:p>
  </w:footnote>
  <w:footnote w:id="42">
    <w:p w14:paraId="39C37137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IMF. IMF Executive Board Concludes 2026 Article IV Consultation with the Republic of Uzbekistan. Press Release No. 26/214. 18 </w:t>
      </w:r>
      <w:proofErr w:type="spellStart"/>
      <w:r>
        <w:rPr>
          <w:sz w:val="17"/>
          <w:szCs w:val="17"/>
        </w:rPr>
        <w:t>июня</w:t>
      </w:r>
      <w:proofErr w:type="spellEnd"/>
      <w:r>
        <w:rPr>
          <w:sz w:val="17"/>
          <w:szCs w:val="17"/>
        </w:rPr>
        <w:t xml:space="preserve"> 2026 г. https://www.imf.org/en/news/articles/2026/06/18/pr-26214-uzbekistan-imf-executive-board-concludes-2026-article-iv-consultation</w:t>
      </w:r>
    </w:p>
  </w:footnote>
  <w:footnote w:id="43">
    <w:p w14:paraId="19DB2532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World Bank. Global Economic Prospects, June 2026.</w:t>
      </w:r>
    </w:p>
  </w:footnote>
  <w:footnote w:id="44">
    <w:p w14:paraId="072EBD51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IMF. Press Release No. 26/214.</w:t>
      </w:r>
    </w:p>
  </w:footnote>
  <w:footnote w:id="45">
    <w:p w14:paraId="2721913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ADB Raises Uzbekistan’s 2026 Growth Forecast to 7% // </w:t>
      </w:r>
      <w:proofErr w:type="spellStart"/>
      <w:r>
        <w:rPr>
          <w:sz w:val="17"/>
          <w:szCs w:val="17"/>
        </w:rPr>
        <w:t>UzDaily</w:t>
      </w:r>
      <w:proofErr w:type="spellEnd"/>
      <w:r>
        <w:rPr>
          <w:sz w:val="17"/>
          <w:szCs w:val="17"/>
        </w:rPr>
        <w:t xml:space="preserve">. 23 </w:t>
      </w:r>
      <w:proofErr w:type="spellStart"/>
      <w:r>
        <w:rPr>
          <w:sz w:val="17"/>
          <w:szCs w:val="17"/>
        </w:rPr>
        <w:t>сентября</w:t>
      </w:r>
      <w:proofErr w:type="spellEnd"/>
      <w:r>
        <w:rPr>
          <w:sz w:val="17"/>
          <w:szCs w:val="17"/>
        </w:rPr>
        <w:t xml:space="preserve"> 2026 г. (</w:t>
      </w:r>
      <w:proofErr w:type="spellStart"/>
      <w:r>
        <w:rPr>
          <w:sz w:val="17"/>
          <w:szCs w:val="17"/>
        </w:rPr>
        <w:t>по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данным</w:t>
      </w:r>
      <w:proofErr w:type="spellEnd"/>
      <w:r>
        <w:rPr>
          <w:sz w:val="17"/>
          <w:szCs w:val="17"/>
        </w:rPr>
        <w:t xml:space="preserve"> Asian Development Outlook, September 2026). https://www.uzdaily.uz/en/adb-raises-uzbekistans-2026-growth-forecast-to-7/</w:t>
      </w:r>
    </w:p>
  </w:footnote>
  <w:footnote w:id="46">
    <w:p w14:paraId="4DCC94B7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EBRD. Central Asia and Mongolia growth to remain robust.</w:t>
      </w:r>
    </w:p>
  </w:footnote>
  <w:footnote w:id="47">
    <w:p w14:paraId="3C7210FD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Евразийский банк развития. Макроэкономический прогноз 2026–2028. 15 июня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eabr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org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analytics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all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publications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macroeconomic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outlook</w:t>
      </w:r>
      <w:r w:rsidRPr="009D201A">
        <w:rPr>
          <w:sz w:val="17"/>
          <w:szCs w:val="17"/>
          <w:lang w:val="ru-RU"/>
        </w:rPr>
        <w:t>-2026-2028-</w:t>
      </w:r>
      <w:proofErr w:type="spellStart"/>
      <w:r>
        <w:rPr>
          <w:sz w:val="17"/>
          <w:szCs w:val="17"/>
        </w:rPr>
        <w:t>june</w:t>
      </w:r>
      <w:proofErr w:type="spellEnd"/>
      <w:r w:rsidRPr="009D201A">
        <w:rPr>
          <w:sz w:val="17"/>
          <w:szCs w:val="17"/>
          <w:lang w:val="ru-RU"/>
        </w:rPr>
        <w:t>/</w:t>
      </w:r>
    </w:p>
  </w:footnote>
  <w:footnote w:id="48">
    <w:p w14:paraId="7F0291F3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Uzbekistan raises 2026 economic growth forecast to 8.1% // Kun.uz. 20 </w:t>
      </w:r>
      <w:proofErr w:type="spellStart"/>
      <w:r>
        <w:rPr>
          <w:sz w:val="17"/>
          <w:szCs w:val="17"/>
        </w:rPr>
        <w:t>июля</w:t>
      </w:r>
      <w:proofErr w:type="spellEnd"/>
      <w:r>
        <w:rPr>
          <w:sz w:val="17"/>
          <w:szCs w:val="17"/>
        </w:rPr>
        <w:t xml:space="preserve"> 2026 г. https://kun.uz/en/news/2026/07/20/uzbekistan-raises-2026-economic-growth-forecast-to-81</w:t>
      </w:r>
    </w:p>
  </w:footnote>
  <w:footnote w:id="49">
    <w:p w14:paraId="20A60187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Центральный банк Республики Узбекистан. Решение по основной ставке от 16 сентября 2026 г.</w:t>
      </w:r>
    </w:p>
  </w:footnote>
  <w:footnote w:id="50">
    <w:p w14:paraId="1B95616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ADB Raises Uzbekistan’s 2026 Growth Forecast to 7%.</w:t>
      </w:r>
    </w:p>
  </w:footnote>
  <w:footnote w:id="51">
    <w:p w14:paraId="4CC6593A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Национальный комитет Республики Узбекистан по статистике. Доля малого бизнеса в ВВП. Информационная система </w:t>
      </w:r>
      <w:r>
        <w:rPr>
          <w:sz w:val="17"/>
          <w:szCs w:val="17"/>
        </w:rPr>
        <w:t>SIAT</w:t>
      </w:r>
      <w:r w:rsidRPr="009D201A">
        <w:rPr>
          <w:sz w:val="17"/>
          <w:szCs w:val="17"/>
          <w:lang w:val="ru-RU"/>
        </w:rPr>
        <w:t xml:space="preserve">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siat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stat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data</w:t>
      </w:r>
      <w:r w:rsidRPr="009D201A">
        <w:rPr>
          <w:sz w:val="17"/>
          <w:szCs w:val="17"/>
          <w:lang w:val="ru-RU"/>
        </w:rPr>
        <w:t>/420/?</w:t>
      </w:r>
      <w:r>
        <w:rPr>
          <w:sz w:val="17"/>
          <w:szCs w:val="17"/>
        </w:rPr>
        <w:t>lang</w:t>
      </w:r>
      <w:r w:rsidRPr="009D201A">
        <w:rPr>
          <w:sz w:val="17"/>
          <w:szCs w:val="17"/>
          <w:lang w:val="ru-RU"/>
        </w:rPr>
        <w:t>=</w:t>
      </w:r>
      <w:proofErr w:type="spellStart"/>
      <w:r>
        <w:rPr>
          <w:sz w:val="17"/>
          <w:szCs w:val="17"/>
        </w:rPr>
        <w:t>en</w:t>
      </w:r>
      <w:proofErr w:type="spellEnd"/>
    </w:p>
  </w:footnote>
  <w:footnote w:id="52">
    <w:p w14:paraId="7059D15F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Национальный комитет Республики Узбекистан по статистике. Доля малого бизнеса в общей занятости. </w:t>
      </w:r>
      <w:proofErr w:type="spellStart"/>
      <w:r>
        <w:rPr>
          <w:sz w:val="17"/>
          <w:szCs w:val="17"/>
        </w:rPr>
        <w:t>Информационная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система</w:t>
      </w:r>
      <w:proofErr w:type="spellEnd"/>
      <w:r>
        <w:rPr>
          <w:sz w:val="17"/>
          <w:szCs w:val="17"/>
        </w:rPr>
        <w:t xml:space="preserve"> SIAT. https://siat.stat.uz/data/274/?lang=en</w:t>
      </w:r>
    </w:p>
  </w:footnote>
  <w:footnote w:id="53">
    <w:p w14:paraId="40C21868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WTO. Uzbekistan reaffirms 2026 WTO accession goal, thanks members for continuing engagement. </w:t>
      </w:r>
      <w:r w:rsidRPr="009D201A">
        <w:rPr>
          <w:sz w:val="17"/>
          <w:szCs w:val="17"/>
          <w:lang w:val="ru-RU"/>
        </w:rPr>
        <w:t xml:space="preserve">27 июля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www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wto</w:t>
      </w:r>
      <w:proofErr w:type="spellEnd"/>
      <w:r w:rsidRPr="009D201A">
        <w:rPr>
          <w:sz w:val="17"/>
          <w:szCs w:val="17"/>
          <w:lang w:val="ru-RU"/>
        </w:rPr>
        <w:t>.</w:t>
      </w:r>
      <w:r>
        <w:rPr>
          <w:sz w:val="17"/>
          <w:szCs w:val="17"/>
        </w:rPr>
        <w:t>org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english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_</w:t>
      </w:r>
      <w:r>
        <w:rPr>
          <w:sz w:val="17"/>
          <w:szCs w:val="17"/>
        </w:rPr>
        <w:t>e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26_</w:t>
      </w:r>
      <w:r>
        <w:rPr>
          <w:sz w:val="17"/>
          <w:szCs w:val="17"/>
        </w:rPr>
        <w:t>e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acc</w:t>
      </w:r>
      <w:proofErr w:type="spellEnd"/>
      <w:r w:rsidRPr="009D201A">
        <w:rPr>
          <w:sz w:val="17"/>
          <w:szCs w:val="17"/>
          <w:lang w:val="ru-RU"/>
        </w:rPr>
        <w:t>_27</w:t>
      </w:r>
      <w:proofErr w:type="spellStart"/>
      <w:r>
        <w:rPr>
          <w:sz w:val="17"/>
          <w:szCs w:val="17"/>
        </w:rPr>
        <w:t>jul</w:t>
      </w:r>
      <w:proofErr w:type="spellEnd"/>
      <w:r w:rsidRPr="009D201A">
        <w:rPr>
          <w:sz w:val="17"/>
          <w:szCs w:val="17"/>
          <w:lang w:val="ru-RU"/>
        </w:rPr>
        <w:t>26_470_</w:t>
      </w:r>
      <w:r>
        <w:rPr>
          <w:sz w:val="17"/>
          <w:szCs w:val="17"/>
        </w:rPr>
        <w:t>e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htm</w:t>
      </w:r>
      <w:proofErr w:type="spellEnd"/>
    </w:p>
  </w:footnote>
  <w:footnote w:id="54">
    <w:p w14:paraId="712F2106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Uzbekistan’s population exceeds 39 million people.</w:t>
      </w:r>
    </w:p>
  </w:footnote>
  <w:footnote w:id="55">
    <w:p w14:paraId="3812DBD1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Новая архитектура занятости. Трансформация рынка образования и труда // </w:t>
      </w:r>
      <w:proofErr w:type="spellStart"/>
      <w:r>
        <w:rPr>
          <w:sz w:val="17"/>
          <w:szCs w:val="17"/>
        </w:rPr>
        <w:t>Yuz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 xml:space="preserve">. 7 апреля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yuz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ru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novaya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arxitektura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zanyatosti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transformatsiya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rnka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obrazovaniya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i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truda</w:t>
      </w:r>
      <w:proofErr w:type="spellEnd"/>
      <w:r w:rsidRPr="009D201A">
        <w:rPr>
          <w:sz w:val="17"/>
          <w:szCs w:val="17"/>
          <w:lang w:val="ru-RU"/>
        </w:rPr>
        <w:t>-</w:t>
      </w:r>
    </w:p>
  </w:footnote>
  <w:footnote w:id="56">
    <w:p w14:paraId="4687A57C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Центральный банк Республики Узбекистан. Обзор валютных операций физических лиц за </w:t>
      </w:r>
      <w:r>
        <w:rPr>
          <w:sz w:val="17"/>
          <w:szCs w:val="17"/>
        </w:rPr>
        <w:t>I</w:t>
      </w:r>
      <w:r w:rsidRPr="009D201A">
        <w:rPr>
          <w:sz w:val="17"/>
          <w:szCs w:val="17"/>
          <w:lang w:val="ru-RU"/>
        </w:rPr>
        <w:t xml:space="preserve"> полугодие 2026 г.</w:t>
      </w:r>
    </w:p>
  </w:footnote>
  <w:footnote w:id="57">
    <w:p w14:paraId="5CE4679A" w14:textId="77777777" w:rsidR="007E068B" w:rsidRDefault="00000000">
      <w:pPr>
        <w:spacing w:after="20"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 Remittances to Uzbekistan exceed $18.9 billion, tripling in five years // Kun.uz. 17 </w:t>
      </w:r>
      <w:proofErr w:type="spellStart"/>
      <w:r>
        <w:rPr>
          <w:sz w:val="17"/>
          <w:szCs w:val="17"/>
        </w:rPr>
        <w:t>марта</w:t>
      </w:r>
      <w:proofErr w:type="spellEnd"/>
      <w:r>
        <w:rPr>
          <w:sz w:val="17"/>
          <w:szCs w:val="17"/>
        </w:rPr>
        <w:t xml:space="preserve"> 2026 г. https://kun.uz/en/news/2026/03/17/remittances-to-uzbekistan-exceed-189-billion-tripling-in-five-years</w:t>
      </w:r>
    </w:p>
  </w:footnote>
  <w:footnote w:id="58">
    <w:p w14:paraId="41676BD1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Указ Президента Республики Узбекистан № УП-141 от 24 июля 2026 г. Сообщение Министерства цифровых технологий от 27 июля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r>
        <w:rPr>
          <w:sz w:val="17"/>
          <w:szCs w:val="17"/>
        </w:rPr>
        <w:t>gov</w:t>
      </w:r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digital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view</w:t>
      </w:r>
      <w:r w:rsidRPr="009D201A">
        <w:rPr>
          <w:sz w:val="17"/>
          <w:szCs w:val="17"/>
          <w:lang w:val="ru-RU"/>
        </w:rPr>
        <w:t>/198089</w:t>
      </w:r>
    </w:p>
  </w:footnote>
  <w:footnote w:id="59">
    <w:p w14:paraId="37A007D8" w14:textId="77777777" w:rsidR="007E068B" w:rsidRPr="009D201A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Экспорт услуг резидентов </w:t>
      </w:r>
      <w:r>
        <w:rPr>
          <w:sz w:val="17"/>
          <w:szCs w:val="17"/>
        </w:rPr>
        <w:t>IT</w:t>
      </w:r>
      <w:r w:rsidRPr="009D201A">
        <w:rPr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Park</w:t>
      </w:r>
      <w:r w:rsidRPr="009D201A">
        <w:rPr>
          <w:sz w:val="17"/>
          <w:szCs w:val="17"/>
          <w:lang w:val="ru-RU"/>
        </w:rPr>
        <w:t xml:space="preserve"> достиг 392,5 млн долларов // </w:t>
      </w:r>
      <w:proofErr w:type="spellStart"/>
      <w:r>
        <w:rPr>
          <w:sz w:val="17"/>
          <w:szCs w:val="17"/>
        </w:rPr>
        <w:t>Yuz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 xml:space="preserve">. 20 августа 2026 г. </w:t>
      </w:r>
      <w:r>
        <w:rPr>
          <w:sz w:val="17"/>
          <w:szCs w:val="17"/>
        </w:rPr>
        <w:t>https</w:t>
      </w:r>
      <w:r w:rsidRPr="009D201A">
        <w:rPr>
          <w:sz w:val="17"/>
          <w:szCs w:val="17"/>
          <w:lang w:val="ru-RU"/>
        </w:rPr>
        <w:t>://</w:t>
      </w:r>
      <w:proofErr w:type="spellStart"/>
      <w:r>
        <w:rPr>
          <w:sz w:val="17"/>
          <w:szCs w:val="17"/>
        </w:rPr>
        <w:t>yuz</w:t>
      </w:r>
      <w:proofErr w:type="spellEnd"/>
      <w:r w:rsidRPr="009D201A">
        <w:rPr>
          <w:sz w:val="17"/>
          <w:szCs w:val="17"/>
          <w:lang w:val="ru-RU"/>
        </w:rPr>
        <w:t>.</w:t>
      </w:r>
      <w:proofErr w:type="spellStart"/>
      <w:r>
        <w:rPr>
          <w:sz w:val="17"/>
          <w:szCs w:val="17"/>
        </w:rPr>
        <w:t>uz</w:t>
      </w:r>
      <w:proofErr w:type="spellEnd"/>
      <w:r w:rsidRPr="009D201A">
        <w:rPr>
          <w:sz w:val="17"/>
          <w:szCs w:val="17"/>
          <w:lang w:val="ru-RU"/>
        </w:rPr>
        <w:t>/</w:t>
      </w:r>
      <w:proofErr w:type="spellStart"/>
      <w:r>
        <w:rPr>
          <w:sz w:val="17"/>
          <w:szCs w:val="17"/>
        </w:rPr>
        <w:t>en</w:t>
      </w:r>
      <w:proofErr w:type="spellEnd"/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news</w:t>
      </w:r>
      <w:r w:rsidRPr="009D201A">
        <w:rPr>
          <w:sz w:val="17"/>
          <w:szCs w:val="17"/>
          <w:lang w:val="ru-RU"/>
        </w:rPr>
        <w:t>/</w:t>
      </w:r>
      <w:r>
        <w:rPr>
          <w:sz w:val="17"/>
          <w:szCs w:val="17"/>
        </w:rPr>
        <w:t>it</w:t>
      </w:r>
      <w:r w:rsidRPr="009D201A">
        <w:rPr>
          <w:sz w:val="17"/>
          <w:szCs w:val="17"/>
          <w:lang w:val="ru-RU"/>
        </w:rPr>
        <w:t>-</w:t>
      </w:r>
      <w:r>
        <w:rPr>
          <w:sz w:val="17"/>
          <w:szCs w:val="17"/>
        </w:rPr>
        <w:t>park</w:t>
      </w:r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ishtirokchilarining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xizmatlar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eksporti</w:t>
      </w:r>
      <w:proofErr w:type="spellEnd"/>
      <w:r w:rsidRPr="009D201A">
        <w:rPr>
          <w:sz w:val="17"/>
          <w:szCs w:val="17"/>
          <w:lang w:val="ru-RU"/>
        </w:rPr>
        <w:t>-3925-</w:t>
      </w:r>
      <w:proofErr w:type="spellStart"/>
      <w:r>
        <w:rPr>
          <w:sz w:val="17"/>
          <w:szCs w:val="17"/>
        </w:rPr>
        <w:t>mln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dollarga</w:t>
      </w:r>
      <w:proofErr w:type="spellEnd"/>
      <w:r w:rsidRPr="009D201A">
        <w:rPr>
          <w:sz w:val="17"/>
          <w:szCs w:val="17"/>
          <w:lang w:val="ru-RU"/>
        </w:rPr>
        <w:t>-</w:t>
      </w:r>
      <w:proofErr w:type="spellStart"/>
      <w:r>
        <w:rPr>
          <w:sz w:val="17"/>
          <w:szCs w:val="17"/>
        </w:rPr>
        <w:t>etdi</w:t>
      </w:r>
      <w:proofErr w:type="spellEnd"/>
    </w:p>
  </w:footnote>
  <w:footnote w:id="60">
    <w:p w14:paraId="7211AB1B" w14:textId="77777777" w:rsidR="007E068B" w:rsidRPr="006012A0" w:rsidRDefault="00000000">
      <w:pPr>
        <w:spacing w:after="20" w:line="220" w:lineRule="auto"/>
        <w:rPr>
          <w:lang w:val="ru-RU"/>
        </w:rPr>
      </w:pPr>
      <w:r>
        <w:rPr>
          <w:rStyle w:val="FootnoteReference"/>
        </w:rPr>
        <w:footnoteRef/>
      </w:r>
      <w:r w:rsidRPr="009D201A">
        <w:rPr>
          <w:sz w:val="17"/>
          <w:szCs w:val="17"/>
          <w:lang w:val="ru-RU"/>
        </w:rPr>
        <w:t xml:space="preserve"> Болотских М., Дорохова М., Кобелев С. ИИ-агенты — где хайп, а где реальность. </w:t>
      </w:r>
      <w:r w:rsidRPr="006012A0">
        <w:rPr>
          <w:sz w:val="17"/>
          <w:szCs w:val="17"/>
          <w:lang w:val="ru-RU"/>
        </w:rPr>
        <w:t>С. 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AAAE0" w14:textId="77777777" w:rsidR="007E068B" w:rsidRPr="009D201A" w:rsidRDefault="00000000">
    <w:pPr>
      <w:jc w:val="right"/>
      <w:rPr>
        <w:lang w:val="ru-RU"/>
      </w:rPr>
    </w:pPr>
    <w:r w:rsidRPr="009D201A">
      <w:rPr>
        <w:rFonts w:ascii="Arial" w:eastAsia="Arial" w:hAnsi="Arial" w:cs="Arial"/>
        <w:color w:val="8C8C8C"/>
        <w:sz w:val="16"/>
        <w:szCs w:val="16"/>
        <w:lang w:val="ru-RU"/>
      </w:rPr>
      <w:t xml:space="preserve">Обзор трендов для малого бизнеса · </w:t>
    </w:r>
    <w:r>
      <w:rPr>
        <w:rFonts w:ascii="Arial" w:eastAsia="Arial" w:hAnsi="Arial" w:cs="Arial"/>
        <w:color w:val="8C8C8C"/>
        <w:sz w:val="16"/>
        <w:szCs w:val="16"/>
      </w:rPr>
      <w:t>III</w:t>
    </w:r>
    <w:r w:rsidRPr="009D201A">
      <w:rPr>
        <w:rFonts w:ascii="Arial" w:eastAsia="Arial" w:hAnsi="Arial" w:cs="Arial"/>
        <w:color w:val="8C8C8C"/>
        <w:sz w:val="16"/>
        <w:szCs w:val="16"/>
        <w:lang w:val="ru-RU"/>
      </w:rPr>
      <w:t xml:space="preserve"> квартал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C673F"/>
    <w:multiLevelType w:val="hybridMultilevel"/>
    <w:tmpl w:val="4A96DA02"/>
    <w:lvl w:ilvl="0" w:tplc="F78EB84E">
      <w:start w:val="1"/>
      <w:numFmt w:val="bullet"/>
      <w:lvlText w:val="●"/>
      <w:lvlJc w:val="left"/>
      <w:pPr>
        <w:ind w:left="720" w:hanging="360"/>
      </w:pPr>
    </w:lvl>
    <w:lvl w:ilvl="1" w:tplc="0C683932">
      <w:start w:val="1"/>
      <w:numFmt w:val="bullet"/>
      <w:lvlText w:val="○"/>
      <w:lvlJc w:val="left"/>
      <w:pPr>
        <w:ind w:left="1440" w:hanging="360"/>
      </w:pPr>
    </w:lvl>
    <w:lvl w:ilvl="2" w:tplc="A5E00A78">
      <w:start w:val="1"/>
      <w:numFmt w:val="bullet"/>
      <w:lvlText w:val="■"/>
      <w:lvlJc w:val="left"/>
      <w:pPr>
        <w:ind w:left="2160" w:hanging="360"/>
      </w:pPr>
    </w:lvl>
    <w:lvl w:ilvl="3" w:tplc="E69ED0B8">
      <w:start w:val="1"/>
      <w:numFmt w:val="bullet"/>
      <w:lvlText w:val="●"/>
      <w:lvlJc w:val="left"/>
      <w:pPr>
        <w:ind w:left="2880" w:hanging="360"/>
      </w:pPr>
    </w:lvl>
    <w:lvl w:ilvl="4" w:tplc="D4765E42">
      <w:start w:val="1"/>
      <w:numFmt w:val="bullet"/>
      <w:lvlText w:val="○"/>
      <w:lvlJc w:val="left"/>
      <w:pPr>
        <w:ind w:left="3600" w:hanging="360"/>
      </w:pPr>
    </w:lvl>
    <w:lvl w:ilvl="5" w:tplc="8BE685FE">
      <w:start w:val="1"/>
      <w:numFmt w:val="bullet"/>
      <w:lvlText w:val="■"/>
      <w:lvlJc w:val="left"/>
      <w:pPr>
        <w:ind w:left="4320" w:hanging="360"/>
      </w:pPr>
    </w:lvl>
    <w:lvl w:ilvl="6" w:tplc="C2FE2048">
      <w:start w:val="1"/>
      <w:numFmt w:val="bullet"/>
      <w:lvlText w:val="●"/>
      <w:lvlJc w:val="left"/>
      <w:pPr>
        <w:ind w:left="5040" w:hanging="360"/>
      </w:pPr>
    </w:lvl>
    <w:lvl w:ilvl="7" w:tplc="D7C2BD64">
      <w:start w:val="1"/>
      <w:numFmt w:val="bullet"/>
      <w:lvlText w:val="●"/>
      <w:lvlJc w:val="left"/>
      <w:pPr>
        <w:ind w:left="5760" w:hanging="360"/>
      </w:pPr>
    </w:lvl>
    <w:lvl w:ilvl="8" w:tplc="44A869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29C7B23"/>
    <w:multiLevelType w:val="hybridMultilevel"/>
    <w:tmpl w:val="9C7A7564"/>
    <w:lvl w:ilvl="0" w:tplc="D7D6E0DC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/>
        <w:bCs/>
        <w:color w:val="1F3A5F"/>
        <w:sz w:val="23"/>
        <w:szCs w:val="23"/>
      </w:rPr>
    </w:lvl>
    <w:lvl w:ilvl="1" w:tplc="156AE0F6">
      <w:numFmt w:val="decimal"/>
      <w:lvlText w:val=""/>
      <w:lvlJc w:val="left"/>
    </w:lvl>
    <w:lvl w:ilvl="2" w:tplc="BE92838C">
      <w:numFmt w:val="decimal"/>
      <w:lvlText w:val=""/>
      <w:lvlJc w:val="left"/>
    </w:lvl>
    <w:lvl w:ilvl="3" w:tplc="23582D38">
      <w:numFmt w:val="decimal"/>
      <w:lvlText w:val=""/>
      <w:lvlJc w:val="left"/>
    </w:lvl>
    <w:lvl w:ilvl="4" w:tplc="390C10D2">
      <w:numFmt w:val="decimal"/>
      <w:lvlText w:val=""/>
      <w:lvlJc w:val="left"/>
    </w:lvl>
    <w:lvl w:ilvl="5" w:tplc="84F07064">
      <w:numFmt w:val="decimal"/>
      <w:lvlText w:val=""/>
      <w:lvlJc w:val="left"/>
    </w:lvl>
    <w:lvl w:ilvl="6" w:tplc="0E7E3AD8">
      <w:numFmt w:val="decimal"/>
      <w:lvlText w:val=""/>
      <w:lvlJc w:val="left"/>
    </w:lvl>
    <w:lvl w:ilvl="7" w:tplc="D340E400">
      <w:numFmt w:val="decimal"/>
      <w:lvlText w:val=""/>
      <w:lvlJc w:val="left"/>
    </w:lvl>
    <w:lvl w:ilvl="8" w:tplc="910AB948">
      <w:numFmt w:val="decimal"/>
      <w:lvlText w:val=""/>
      <w:lvlJc w:val="left"/>
    </w:lvl>
  </w:abstractNum>
  <w:num w:numId="1" w16cid:durableId="1578713350">
    <w:abstractNumId w:val="0"/>
    <w:lvlOverride w:ilvl="0">
      <w:startOverride w:val="1"/>
    </w:lvlOverride>
  </w:num>
  <w:num w:numId="2" w16cid:durableId="12213995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68B"/>
    <w:rsid w:val="00192CFE"/>
    <w:rsid w:val="006012A0"/>
    <w:rsid w:val="00664B1A"/>
    <w:rsid w:val="007E068B"/>
    <w:rsid w:val="009D201A"/>
    <w:rsid w:val="00AF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A751"/>
  <w15:docId w15:val="{D06CCF4D-C685-4762-AA5F-37AAC5F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3"/>
        <w:szCs w:val="23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20"/>
      <w:outlineLvl w:val="0"/>
    </w:pPr>
    <w:rPr>
      <w:rFonts w:ascii="Arial" w:eastAsia="Arial" w:hAnsi="Arial" w:cs="Arial"/>
      <w:b/>
      <w:bCs/>
      <w:color w:val="1F3A5F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3773</Words>
  <Characters>21511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Малый бизнес Узбекистана в эпоху ИИ-агентов и демографических перемен</vt:lpstr>
    </vt:vector>
  </TitlesOfParts>
  <Company/>
  <LinksUpToDate>false</LinksUpToDate>
  <CharactersWithSpaces>25234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Малый бизнес Узбекистана в эпоху ИИ-агентов и демографических перемен</dc:title>
  <dc:creator>Azizbek Abduqodirov</dc:creator>
  <cp:lastModifiedBy>Azizbek Abdukodirov</cp:lastModifiedBy>
  <cp:revision>2</cp:revision>
  <dcterms:created xsi:type="dcterms:W3CDTF">2026-09-30T12:06:00Z</dcterms:created>
  <dcterms:modified xsi:type="dcterms:W3CDTF">2026-09-30T12:06:00Z</dcterms:modified>
</cp:coreProperties>
</file>