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8" w:type="dxa"/>
        <w:tblLook w:val="04A0" w:firstRow="1" w:lastRow="0" w:firstColumn="1" w:lastColumn="0" w:noHBand="0" w:noVBand="1"/>
      </w:tblPr>
      <w:tblGrid>
        <w:gridCol w:w="455"/>
        <w:gridCol w:w="4081"/>
        <w:gridCol w:w="2028"/>
        <w:gridCol w:w="4493"/>
        <w:gridCol w:w="1559"/>
        <w:gridCol w:w="1559"/>
        <w:gridCol w:w="1843"/>
      </w:tblGrid>
      <w:tr w:rsidR="00FD0203" w:rsidRPr="00FD0203" w14:paraId="63A522F8" w14:textId="77777777" w:rsidTr="001A6E44">
        <w:trPr>
          <w:trHeight w:val="870"/>
        </w:trPr>
        <w:tc>
          <w:tcPr>
            <w:tcW w:w="16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EFE0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sz w:val="36"/>
                <w:szCs w:val="36"/>
                <w:lang w:eastAsia="ru-RU"/>
              </w:rPr>
            </w:pPr>
            <w:bookmarkStart w:id="0" w:name="RANGE!A1:G34"/>
            <w:bookmarkStart w:id="1" w:name="_GoBack"/>
            <w:bookmarkEnd w:id="1"/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sz w:val="36"/>
                <w:szCs w:val="36"/>
                <w:lang w:eastAsia="ru-RU"/>
              </w:rPr>
              <w:t>Valyuta ayirboshlash, xalqaro pul oʻtkazmalari boʻyicha faoliyat koʻrsatuvchi hamda kommunal va bir martalik toʻlovlarni qabul qiluvchi bank tarmoqlari  toʻgʻrisida</w:t>
            </w:r>
            <w:bookmarkEnd w:id="0"/>
          </w:p>
        </w:tc>
      </w:tr>
      <w:tr w:rsidR="00FD0203" w:rsidRPr="00FD0203" w14:paraId="70D105FD" w14:textId="77777777" w:rsidTr="001A6E44">
        <w:trPr>
          <w:trHeight w:val="600"/>
        </w:trPr>
        <w:tc>
          <w:tcPr>
            <w:tcW w:w="160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B73A9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sz w:val="36"/>
                <w:szCs w:val="3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sz w:val="36"/>
                <w:szCs w:val="36"/>
                <w:lang w:eastAsia="ru-RU"/>
              </w:rPr>
              <w:t>MAʼLUMOT</w:t>
            </w:r>
          </w:p>
        </w:tc>
      </w:tr>
      <w:tr w:rsidR="00FD0203" w:rsidRPr="00FD0203" w14:paraId="22B13DF4" w14:textId="77777777" w:rsidTr="001A6E44">
        <w:trPr>
          <w:trHeight w:val="495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DDFB4D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№</w:t>
            </w:r>
          </w:p>
        </w:tc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28A42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BXO/BXM nomi</w:t>
            </w: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42E00B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Hudud</w:t>
            </w:r>
          </w:p>
        </w:tc>
        <w:tc>
          <w:tcPr>
            <w:tcW w:w="4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3DDA40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VASH va XPU manzili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EA61A9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Shanba dam olish kuni</w:t>
            </w:r>
          </w:p>
        </w:tc>
      </w:tr>
      <w:tr w:rsidR="00FD0203" w:rsidRPr="00053846" w14:paraId="65A6B1A4" w14:textId="77777777" w:rsidTr="001A6E44">
        <w:trPr>
          <w:trHeight w:val="115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7DE7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</w:p>
        </w:tc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4CC99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A06EF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</w:p>
        </w:tc>
        <w:tc>
          <w:tcPr>
            <w:tcW w:w="4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8FA9C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252E8D9" w14:textId="04B6CFB5" w:rsidR="00FD0203" w:rsidRPr="00FD0203" w:rsidRDefault="00053846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053846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Valyuta ayirboshlash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1BB8CD3" w14:textId="70D19710" w:rsidR="00FD0203" w:rsidRPr="00FD0203" w:rsidRDefault="00053846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</w:pPr>
            <w:r w:rsidRPr="00053846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eastAsia="ru-RU"/>
              </w:rPr>
              <w:t>xalqaro pul oʻtkazmalari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1632C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000000"/>
                <w:lang w:val="en-US" w:eastAsia="ru-RU"/>
              </w:rPr>
              <w:t>Kommunal va bir martalik toʻlovlar qabul qilish</w:t>
            </w:r>
          </w:p>
        </w:tc>
      </w:tr>
      <w:tr w:rsidR="00FD0203" w:rsidRPr="00FD0203" w14:paraId="61AA1FD6" w14:textId="77777777" w:rsidTr="001A6E44">
        <w:trPr>
          <w:trHeight w:val="22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6F9C701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75456D0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93678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26F719D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70A6C2F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4893501B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14:paraId="567500B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b/>
                <w:bCs/>
                <w:noProof/>
                <w:color w:val="FFFFFF"/>
                <w:sz w:val="16"/>
                <w:szCs w:val="16"/>
                <w:lang w:eastAsia="ru-RU"/>
              </w:rPr>
              <w:t> </w:t>
            </w:r>
          </w:p>
        </w:tc>
      </w:tr>
      <w:tr w:rsidR="00FD0203" w:rsidRPr="00FD0203" w14:paraId="52C90D17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4320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015DB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Andijon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327D5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Andijon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C6A3E" w14:textId="77777777" w:rsidR="00075682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Andijon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Boburshox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</w:p>
          <w:p w14:paraId="43FBF5D6" w14:textId="0C5CBF88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36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FC51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686A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82BE8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50FBAFD3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0812D6" w14:textId="0BF4C250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7494C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Bunyodkor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D33C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Andijon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B6A8E" w14:textId="74B91E1C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Andijon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A.Temur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24-uy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A78B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F772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B168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CEB5DEC" w14:textId="77777777" w:rsidTr="001A6E44">
        <w:trPr>
          <w:trHeight w:val="57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9524B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F66DE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Buxoro BXO (Markaziy Bozor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9FDF4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Buxoro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07964" w14:textId="463EA126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Buxoro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Markaziy Bozor xududida joylashgan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Ibn sino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1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DE5F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141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7C55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441D4227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EF81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0107AF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Jizzax mintaqaviy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0C9A7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Jizzax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AF8F" w14:textId="7664AF8F" w:rsidR="00FD0203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Jizzax</w:t>
            </w: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Sh</w:t>
            </w: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.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Rashidov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7-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DB0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1E8A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7B52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4AB2847F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FB9B8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04A2BC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Qashqadaryo mintaqaviy 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3C670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Qashqadaryo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07CBF" w14:textId="77777777" w:rsidR="00FD0203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Qarshi</w:t>
            </w:r>
            <w:r w:rsidRPr="00075682">
              <w:rPr>
                <w:rFonts w:ascii="Bahnschrift" w:eastAsia="Times New Roman" w:hAnsi="Bahnschrift" w:cs="Calibri"/>
                <w:noProof/>
                <w:lang w:eastAsia="ru-RU"/>
              </w:rPr>
              <w:t xml:space="preserve"> 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shaxar</w:t>
            </w:r>
            <w:r w:rsidRPr="00075682">
              <w:rPr>
                <w:rFonts w:ascii="Bahnschrift" w:eastAsia="Times New Roman" w:hAnsi="Bahnschrift" w:cs="Calibri"/>
                <w:noProof/>
                <w:lang w:eastAsia="ru-RU"/>
              </w:rPr>
              <w:t xml:space="preserve">, 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Xonobod</w:t>
            </w:r>
            <w:r w:rsidRPr="00075682">
              <w:rPr>
                <w:rFonts w:ascii="Bahnschrift" w:eastAsia="Times New Roman" w:hAnsi="Bahnschrift" w:cs="Calibri"/>
                <w:noProof/>
                <w:lang w:eastAsia="ru-RU"/>
              </w:rPr>
              <w:t xml:space="preserve"> 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shosse</w:t>
            </w:r>
            <w:r w:rsidRPr="00075682">
              <w:rPr>
                <w:rFonts w:ascii="Bahnschrift" w:eastAsia="Times New Roman" w:hAnsi="Bahnschrift" w:cs="Calibri"/>
                <w:noProof/>
                <w:lang w:eastAsia="ru-RU"/>
              </w:rPr>
              <w:t xml:space="preserve"> 2-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FE7EDB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57EB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BD0B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43293D02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1E6A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BACA8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Qungʻirot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B5DC7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Qoraqalpogʻiston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996B3" w14:textId="4D3D5762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Qoʻngʻirot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T Ayberganova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, 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2-uy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7312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5CD8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AB9D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261172B1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65AE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94BD3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Navoiy mintaqaviy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E8836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Navoiy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C600D" w14:textId="454E318E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Navoiy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Meʼmorlar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7-uy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DA3C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1911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8F4B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3D570A0B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9B21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1E244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Sirdaryo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2103D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Sirdaryo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BD37" w14:textId="63CFDE17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Guliston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A.Navoiy shox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48-uy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8C4A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CA35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4142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24AA1752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291FF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BC03A5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Sariosiyo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4C4A2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Surxondaryo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3FB7" w14:textId="537A0D4A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Sariosiyo shaxarchasi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Billur MFY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A.Qaxxor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7-uy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1002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0FE7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EEA9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18035D5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D597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DF84F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Sariosiyo BXM (Shargʻun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BAC84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Surxondaryo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182C" w14:textId="77777777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Shargʻuyen shahar, Shaxtyorlar koʻchasi, 17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301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4CA75" w14:textId="17675BDD" w:rsidR="00FD0203" w:rsidRPr="00FD0203" w:rsidRDefault="007129FF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7E95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4EB5CF9B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DE3D3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9FF61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Surxondaryo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6EB1A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Surxondaryo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2D7F" w14:textId="0FAFEA3B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Termiz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A.Navoiy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45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BC2E1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0F0B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047F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5C91D37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575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5328B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Surxondaryo BXO (Jarqoʻrgʻon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0D018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Surxondaryo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FB25" w14:textId="6AB9856A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Termiz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A.Navoiy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45 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E666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C2EFA" w14:textId="5B35E9FE" w:rsidR="00FD0203" w:rsidRPr="00FD0203" w:rsidRDefault="007129FF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3135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69F6BD52" w14:textId="77777777" w:rsidTr="00075682">
        <w:trPr>
          <w:trHeight w:val="558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2741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C572B" w14:textId="757C23A4" w:rsidR="00FD0203" w:rsidRPr="00FD0203" w:rsidRDefault="00FD0203" w:rsidP="00075682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 xml:space="preserve">Amaliyot boshqarmasi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8EB08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D66A6" w14:textId="77777777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Yunusobod tumani, Interkontenintal mexmonxonasi binosi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7D8D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086D" w14:textId="0818B8A8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0048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2DF06DF2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9D3A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A4202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Labzak BXM (Abu Saxiy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2F603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475CF" w14:textId="77777777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Chilonzor tumani, Bunyodkor shox koʻchasi, 156a-uy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839D3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F41A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5EDC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415B5B21" w14:textId="77777777" w:rsidTr="001A6E44">
        <w:trPr>
          <w:trHeight w:val="61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6B7A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B05A3C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Sergeli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7E40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2178B" w14:textId="6A40253F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Sergeli tumani, Sergeli 8 mavze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Shokirariq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3-uy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E157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AA4F7" w14:textId="694BC2C2" w:rsidR="00FD0203" w:rsidRPr="00FD0203" w:rsidRDefault="00AA690A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761A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7B10242D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3D1A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01877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Uchtepa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76AAB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3E901" w14:textId="281EAFE0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Uchtepa tumani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Chilonzor-12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Farxod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3A-Uy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E9EC1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D58AF" w14:textId="0ED3F7C7" w:rsidR="00FD0203" w:rsidRPr="00FD0203" w:rsidRDefault="00AA690A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0141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E24B665" w14:textId="77777777" w:rsidTr="001A6E44">
        <w:trPr>
          <w:trHeight w:val="54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48C06B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AA7CE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M.Ulugʻbek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6900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CC57" w14:textId="08E3C3A2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Toshkent shahar, M.Ulugʻbek tuman, Istiqlol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25-uy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7E6F1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9461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0053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2473DC0" w14:textId="77777777" w:rsidTr="001A6E44">
        <w:trPr>
          <w:trHeight w:val="5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0900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40358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Al-Xorazmiy BXM (Karvon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0FF3D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CBC4F" w14:textId="77777777" w:rsidR="00FD0203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Uchtepa tumani, Oʻrikzor mavzesi (Oʻrikzor bozori 1-blok)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10F7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C4B1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95D8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3EB0716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89989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6EBBF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Chilonzor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EC319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5F37" w14:textId="77777777" w:rsidR="00FD0203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Chilonzor tumani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47F3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26B8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4EDF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510F2ED6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9A5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53DA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Yunusobod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68DE9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F1AED" w14:textId="3C4DF705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Yunusobod tumani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Uch Qaxramon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7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8FCE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AAE5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EF0E9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CE0A068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4B73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65D6D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Yashnobod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AF643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 Sh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6561C" w14:textId="160A6212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Yashnobod tumani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Maxtumquli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69-uy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24DF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67FE8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5CC6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42DF5166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686B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A87D4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Angren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7ACD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Toshkent.v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D972" w14:textId="51051735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Angren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5/1A Daxasi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3uy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CAD57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CE59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1A3A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5B8BDBB9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27DD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25507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Qibray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4E907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Toshkent.v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7235" w14:textId="4B58372D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Qibray tumani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Zebiniso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7-uy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62BBB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085B8E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4062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3F4CA6F1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9262B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A10EC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Olmaliq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27E448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Toshkent.v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A550" w14:textId="12499AE8" w:rsidR="00075682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Olmaliq shaxar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Amir Temur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</w:p>
          <w:p w14:paraId="6B6D80FC" w14:textId="27367529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28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A33CA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1AA1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823A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2A64EA85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AD4D41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B16B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Kirguli BXM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984AFD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Fargona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7BB7" w14:textId="2CC87CCA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Fargʻona shaxar</w:t>
            </w:r>
            <w:r w:rsidR="00075682">
              <w:rPr>
                <w:rFonts w:ascii="Bahnschrift" w:eastAsia="Times New Roman" w:hAnsi="Bahnschrift" w:cs="Calibri"/>
                <w:noProof/>
                <w:lang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Fargʻona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19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F0F9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063F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7B699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50B17A81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5A91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58B3D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Fargʻona mintaqaviy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B6494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Fargona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24D6" w14:textId="063FA827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Fargʻona shaxar, Qomus koʻchasi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42-uy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7D98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008A80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E196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78DF25C9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58AE5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70398C" w14:textId="77777777" w:rsidR="00075682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Fargʻona mintaqaviy BXO</w:t>
            </w:r>
          </w:p>
          <w:p w14:paraId="269E397A" w14:textId="0A5C8A2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(Margʻilon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FBF56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Fargona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BFAB1" w14:textId="77777777" w:rsidR="00FD0203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Fargʻona shaxar, Margʻilon shahar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D37D6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93D6EB" w14:textId="64A1018B" w:rsidR="00FD0203" w:rsidRPr="00FD0203" w:rsidRDefault="007129FF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8EED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15C6C953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98A1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F710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Xorazm mintaqaviy BXO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CD377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Xorazm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4DFA" w14:textId="53229DE8" w:rsidR="00FD0203" w:rsidRPr="00FD0203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>Urganch shaxar A.German</w:t>
            </w:r>
            <w:r w:rsidR="00075682"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,</w:t>
            </w:r>
            <w:r w:rsidRPr="00FD0203">
              <w:rPr>
                <w:rFonts w:ascii="Bahnschrift" w:eastAsia="Times New Roman" w:hAnsi="Bahnschrift" w:cs="Calibri"/>
                <w:noProof/>
                <w:lang w:val="en-US" w:eastAsia="ru-RU"/>
              </w:rPr>
              <w:t xml:space="preserve"> 22 uy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1502D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ADBEF8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3E3CC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  <w:tr w:rsidR="00FD0203" w:rsidRPr="00FD0203" w14:paraId="36FC8865" w14:textId="77777777" w:rsidTr="001A6E44">
        <w:trPr>
          <w:trHeight w:val="30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6422F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color w:val="000000"/>
                <w:lang w:eastAsia="ru-RU"/>
              </w:rPr>
              <w:t>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5AE10" w14:textId="77777777" w:rsidR="00FD0203" w:rsidRPr="00FD0203" w:rsidRDefault="00FD0203" w:rsidP="001A6E44">
            <w:pPr>
              <w:spacing w:after="0" w:line="240" w:lineRule="auto"/>
              <w:ind w:firstLineChars="100" w:firstLine="220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Xorazm mintaqaviy BXO (Xiva BXM)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35D00" w14:textId="77777777" w:rsidR="00FD0203" w:rsidRPr="00FD0203" w:rsidRDefault="00FD0203" w:rsidP="001A6E44">
            <w:pPr>
              <w:spacing w:after="0" w:line="240" w:lineRule="auto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Xorazm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A3E4" w14:textId="77777777" w:rsidR="00FD0203" w:rsidRPr="00075682" w:rsidRDefault="00FD0203" w:rsidP="00075682">
            <w:pPr>
              <w:spacing w:after="0" w:line="240" w:lineRule="auto"/>
              <w:ind w:firstLineChars="100" w:firstLine="220"/>
              <w:jc w:val="center"/>
              <w:rPr>
                <w:rFonts w:ascii="Bahnschrift" w:eastAsia="Times New Roman" w:hAnsi="Bahnschrift" w:cs="Calibri"/>
                <w:noProof/>
                <w:lang w:val="en-US" w:eastAsia="ru-RU"/>
              </w:rPr>
            </w:pPr>
            <w:r w:rsidRPr="00075682">
              <w:rPr>
                <w:rFonts w:ascii="Bahnschrift" w:eastAsia="Times New Roman" w:hAnsi="Bahnschrift" w:cs="Calibri"/>
                <w:noProof/>
                <w:lang w:val="en-US" w:eastAsia="ru-RU"/>
              </w:rPr>
              <w:t>Xiva shaxri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321F7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AED28" w14:textId="765E0814" w:rsidR="00FD0203" w:rsidRPr="00FD0203" w:rsidRDefault="007129FF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Ishlamaydi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8C4A4" w14:textId="77777777" w:rsidR="00FD0203" w:rsidRPr="00FD0203" w:rsidRDefault="00FD0203" w:rsidP="001A6E44">
            <w:pPr>
              <w:spacing w:after="0" w:line="240" w:lineRule="auto"/>
              <w:jc w:val="center"/>
              <w:rPr>
                <w:rFonts w:ascii="Bahnschrift" w:eastAsia="Times New Roman" w:hAnsi="Bahnschrift" w:cs="Calibri"/>
                <w:noProof/>
                <w:lang w:eastAsia="ru-RU"/>
              </w:rPr>
            </w:pPr>
            <w:r w:rsidRPr="00FD0203">
              <w:rPr>
                <w:rFonts w:ascii="Bahnschrift" w:eastAsia="Times New Roman" w:hAnsi="Bahnschrift" w:cs="Calibri"/>
                <w:noProof/>
                <w:lang w:eastAsia="ru-RU"/>
              </w:rPr>
              <w:t>Ishlaydi</w:t>
            </w:r>
          </w:p>
        </w:tc>
      </w:tr>
    </w:tbl>
    <w:p w14:paraId="5146B14C" w14:textId="77777777" w:rsidR="00366EF6" w:rsidRPr="00FD0203" w:rsidRDefault="00366EF6">
      <w:pPr>
        <w:rPr>
          <w:noProof/>
        </w:rPr>
      </w:pPr>
    </w:p>
    <w:sectPr w:rsidR="00366EF6" w:rsidRPr="00FD0203" w:rsidSect="00FD0203">
      <w:pgSz w:w="16838" w:h="11906" w:orient="landscape"/>
      <w:pgMar w:top="567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03"/>
    <w:rsid w:val="00053846"/>
    <w:rsid w:val="00075682"/>
    <w:rsid w:val="00366EF6"/>
    <w:rsid w:val="007129FF"/>
    <w:rsid w:val="00944EC3"/>
    <w:rsid w:val="009C0CE7"/>
    <w:rsid w:val="00AA690A"/>
    <w:rsid w:val="00D1307A"/>
    <w:rsid w:val="00F75E17"/>
    <w:rsid w:val="00FD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DE95"/>
  <w15:docId w15:val="{2D464FF9-8825-41FD-BBF3-F174A851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Ulug'bek I. Djuraev</dc:creator>
  <cp:keywords/>
  <dc:description/>
  <cp:lastModifiedBy>FATIMA</cp:lastModifiedBy>
  <cp:revision>2</cp:revision>
  <dcterms:created xsi:type="dcterms:W3CDTF">2023-08-04T10:59:00Z</dcterms:created>
  <dcterms:modified xsi:type="dcterms:W3CDTF">2023-08-04T10:59:00Z</dcterms:modified>
</cp:coreProperties>
</file>